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807C4B" w:rsidP="00054E0A">
      <w:pPr>
        <w:pStyle w:val="NoSpacing"/>
        <w:jc w:val="both"/>
        <w:rPr>
          <w:rFonts w:eastAsia="Times New Roman" w:cs="Arial"/>
          <w:b/>
          <w:bCs/>
          <w:szCs w:val="24"/>
        </w:rPr>
      </w:pPr>
    </w:p>
    <w:p w:rsidR="00054E0A" w:rsidRDefault="00ED346B" w:rsidP="00054E0A">
      <w:pPr>
        <w:pStyle w:val="NoSpacing"/>
        <w:jc w:val="both"/>
        <w:rPr>
          <w:rFonts w:eastAsia="Times New Roman" w:cs="Arial"/>
          <w:b/>
          <w:bCs/>
          <w:szCs w:val="24"/>
        </w:rPr>
      </w:pPr>
      <w:r>
        <w:rPr>
          <w:rFonts w:eastAsia="Times New Roman" w:cs="Arial"/>
          <w:b/>
          <w:bCs/>
          <w:szCs w:val="24"/>
        </w:rPr>
        <w:t xml:space="preserve">CITY DEAL </w:t>
      </w:r>
      <w:r w:rsidR="00807C4B">
        <w:rPr>
          <w:rFonts w:eastAsia="Times New Roman" w:cs="Arial"/>
          <w:b/>
          <w:bCs/>
          <w:szCs w:val="24"/>
        </w:rPr>
        <w:t xml:space="preserve">EXECUTIVE AND </w:t>
      </w:r>
      <w:r w:rsidR="00054E0A">
        <w:rPr>
          <w:rFonts w:eastAsia="Times New Roman" w:cs="Arial"/>
          <w:b/>
          <w:bCs/>
          <w:szCs w:val="24"/>
        </w:rPr>
        <w:t>STEWARDSHIP BOARD</w:t>
      </w:r>
    </w:p>
    <w:p w:rsidR="00D3134F" w:rsidRPr="00D3134F" w:rsidRDefault="00D3134F" w:rsidP="00D3134F">
      <w:pPr>
        <w:spacing w:after="0" w:line="240" w:lineRule="auto"/>
        <w:rPr>
          <w:rFonts w:ascii="Arial" w:hAnsi="Arial" w:cs="Arial"/>
          <w:b/>
          <w:bCs/>
          <w:sz w:val="24"/>
          <w:szCs w:val="24"/>
        </w:rPr>
      </w:pPr>
    </w:p>
    <w:p w:rsidR="00D3134F" w:rsidRPr="00D3134F" w:rsidRDefault="00D3134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914890">
        <w:rPr>
          <w:rFonts w:ascii="Arial" w:hAnsi="Arial" w:cs="Arial"/>
          <w:b/>
          <w:sz w:val="24"/>
          <w:szCs w:val="24"/>
        </w:rPr>
        <w:t>No</w:t>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sidR="00E52B9D">
        <w:rPr>
          <w:rFonts w:ascii="Arial" w:hAnsi="Arial" w:cs="Arial"/>
          <w:sz w:val="24"/>
          <w:szCs w:val="24"/>
        </w:rPr>
        <w:t>Wednesday, 29 November 2017</w:t>
      </w:r>
      <w:r>
        <w:rPr>
          <w:rFonts w:ascii="Arial" w:hAnsi="Arial" w:cs="Arial"/>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sidR="00E52B9D">
        <w:rPr>
          <w:rFonts w:ascii="Arial" w:eastAsia="Times New Roman" w:hAnsi="Arial" w:cs="Arial"/>
          <w:b/>
          <w:sz w:val="24"/>
          <w:szCs w:val="24"/>
        </w:rPr>
        <w:t>Business and Delivery plan – Six Monthly Monitoring Report – 2017/18 and Implementation Update</w:t>
      </w:r>
      <w:r>
        <w:rPr>
          <w:rFonts w:ascii="Arial" w:eastAsia="Times New Roman" w:hAnsi="Arial" w:cs="Arial"/>
          <w:b/>
          <w:sz w:val="24"/>
          <w:szCs w:val="24"/>
        </w:rPr>
        <w:fldChar w:fldCharType="end"/>
      </w:r>
    </w:p>
    <w:p w:rsidR="00D3134F" w:rsidRPr="00D3134F" w:rsidRDefault="00914890" w:rsidP="00D3134F">
      <w:pPr>
        <w:spacing w:after="0" w:line="240" w:lineRule="auto"/>
        <w:rPr>
          <w:rFonts w:ascii="Arial" w:hAnsi="Arial" w:cs="Arial"/>
          <w:sz w:val="24"/>
          <w:szCs w:val="24"/>
        </w:rPr>
      </w:pPr>
      <w:r>
        <w:rPr>
          <w:rFonts w:ascii="Arial" w:hAnsi="Arial" w:cs="Arial"/>
          <w:sz w:val="24"/>
          <w:szCs w:val="24"/>
        </w:rPr>
        <w:t>(Appendices 1, 2, 3, 4 refer)</w:t>
      </w:r>
    </w:p>
    <w:p w:rsidR="00D3134F" w:rsidRPr="00D3134F" w:rsidRDefault="00D3134F" w:rsidP="00D3134F">
      <w:pPr>
        <w:spacing w:after="0" w:line="240" w:lineRule="auto"/>
        <w:rPr>
          <w:rFonts w:ascii="Arial" w:hAnsi="Arial" w:cs="Arial"/>
          <w:sz w:val="24"/>
          <w:szCs w:val="24"/>
        </w:rPr>
      </w:pPr>
    </w:p>
    <w:p w:rsidR="00D3134F" w:rsidRPr="00D3134F" w:rsidRDefault="00D3134F" w:rsidP="00D3134F">
      <w:pPr>
        <w:spacing w:after="0" w:line="240" w:lineRule="auto"/>
        <w:ind w:right="-873"/>
        <w:rPr>
          <w:rFonts w:ascii="Arial" w:hAnsi="Arial" w:cs="Arial"/>
          <w:b/>
          <w:sz w:val="24"/>
          <w:szCs w:val="24"/>
        </w:rPr>
      </w:pPr>
      <w:r w:rsidRPr="00D3134F">
        <w:rPr>
          <w:rFonts w:ascii="Arial" w:hAnsi="Arial" w:cs="Arial"/>
          <w:b/>
          <w:sz w:val="24"/>
          <w:szCs w:val="24"/>
        </w:rPr>
        <w:t>Report Author:</w:t>
      </w:r>
      <w:r w:rsidR="00E1211C">
        <w:rPr>
          <w:rFonts w:ascii="Arial" w:hAnsi="Arial" w:cs="Arial"/>
          <w:b/>
          <w:sz w:val="24"/>
          <w:szCs w:val="24"/>
        </w:rPr>
        <w:t xml:space="preserve"> </w:t>
      </w:r>
      <w:r w:rsidR="00E1211C">
        <w:rPr>
          <w:rFonts w:ascii="Arial" w:hAnsi="Arial" w:cs="Arial"/>
          <w:b/>
          <w:sz w:val="24"/>
          <w:szCs w:val="24"/>
        </w:rPr>
        <w:fldChar w:fldCharType="begin"/>
      </w:r>
      <w:r w:rsidR="00E1211C">
        <w:rPr>
          <w:rFonts w:ascii="Arial" w:hAnsi="Arial" w:cs="Arial"/>
          <w:b/>
          <w:sz w:val="24"/>
          <w:szCs w:val="24"/>
        </w:rPr>
        <w:instrText xml:space="preserve"> DOCPROPERTY  LeadOfficer  \* MERGEFORMAT </w:instrText>
      </w:r>
      <w:r w:rsidR="00E1211C">
        <w:rPr>
          <w:rFonts w:ascii="Arial" w:hAnsi="Arial" w:cs="Arial"/>
          <w:b/>
          <w:sz w:val="24"/>
          <w:szCs w:val="24"/>
        </w:rPr>
        <w:fldChar w:fldCharType="separate"/>
      </w:r>
      <w:r w:rsidR="00E52B9D">
        <w:rPr>
          <w:rFonts w:ascii="Arial" w:hAnsi="Arial" w:cs="Arial"/>
          <w:b/>
          <w:sz w:val="24"/>
          <w:szCs w:val="24"/>
        </w:rPr>
        <w:t>Sarah Parry</w:t>
      </w:r>
      <w:r w:rsidR="00E1211C">
        <w:rPr>
          <w:rFonts w:ascii="Arial" w:hAnsi="Arial" w:cs="Arial"/>
          <w:b/>
          <w:sz w:val="24"/>
          <w:szCs w:val="24"/>
        </w:rPr>
        <w:fldChar w:fldCharType="end"/>
      </w:r>
      <w:r w:rsidRPr="00D3134F">
        <w:rPr>
          <w:rFonts w:ascii="Arial" w:hAnsi="Arial" w:cs="Arial"/>
          <w:b/>
          <w:sz w:val="24"/>
          <w:szCs w:val="24"/>
        </w:rPr>
        <w:t xml:space="preserve">, </w:t>
      </w:r>
      <w:r w:rsidR="00914890">
        <w:rPr>
          <w:rFonts w:ascii="Arial" w:hAnsi="Arial" w:cs="Arial"/>
          <w:b/>
          <w:sz w:val="24"/>
          <w:szCs w:val="24"/>
        </w:rPr>
        <w:t xml:space="preserve">Programme Manager – City Deal, Lancashire County Council, </w:t>
      </w:r>
      <w:r w:rsidR="00E1211C">
        <w:rPr>
          <w:rFonts w:ascii="Arial" w:hAnsi="Arial" w:cs="Arial"/>
          <w:b/>
          <w:sz w:val="24"/>
          <w:szCs w:val="24"/>
        </w:rPr>
        <w:fldChar w:fldCharType="begin"/>
      </w:r>
      <w:r w:rsidR="00E1211C">
        <w:rPr>
          <w:rFonts w:ascii="Arial" w:hAnsi="Arial" w:cs="Arial"/>
          <w:b/>
          <w:sz w:val="24"/>
          <w:szCs w:val="24"/>
        </w:rPr>
        <w:instrText xml:space="preserve"> DOCPROPERTY  LeadOfficerTel  \* MERGEFORMAT </w:instrText>
      </w:r>
      <w:r w:rsidR="00E1211C">
        <w:rPr>
          <w:rFonts w:ascii="Arial" w:hAnsi="Arial" w:cs="Arial"/>
          <w:b/>
          <w:sz w:val="24"/>
          <w:szCs w:val="24"/>
        </w:rPr>
        <w:fldChar w:fldCharType="separate"/>
      </w:r>
      <w:proofErr w:type="gramStart"/>
      <w:r w:rsidR="00E52B9D">
        <w:rPr>
          <w:rFonts w:ascii="Arial" w:hAnsi="Arial" w:cs="Arial"/>
          <w:b/>
          <w:sz w:val="24"/>
          <w:szCs w:val="24"/>
        </w:rPr>
        <w:t>Tel</w:t>
      </w:r>
      <w:proofErr w:type="gramEnd"/>
      <w:r w:rsidR="00E52B9D">
        <w:rPr>
          <w:rFonts w:ascii="Arial" w:hAnsi="Arial" w:cs="Arial"/>
          <w:b/>
          <w:sz w:val="24"/>
          <w:szCs w:val="24"/>
        </w:rPr>
        <w:t>: 01772 530615</w:t>
      </w:r>
      <w:r w:rsidR="00E1211C">
        <w:rPr>
          <w:rFonts w:ascii="Arial" w:hAnsi="Arial" w:cs="Arial"/>
          <w:b/>
          <w:sz w:val="24"/>
          <w:szCs w:val="24"/>
        </w:rPr>
        <w:fldChar w:fldCharType="end"/>
      </w:r>
      <w:r w:rsidRPr="00D3134F">
        <w:rPr>
          <w:rFonts w:ascii="Arial" w:hAnsi="Arial" w:cs="Arial"/>
          <w:b/>
          <w:sz w:val="24"/>
          <w:szCs w:val="24"/>
        </w:rPr>
        <w:t xml:space="preserve">, </w:t>
      </w:r>
      <w:r w:rsidR="00914890">
        <w:rPr>
          <w:rFonts w:ascii="Arial" w:hAnsi="Arial" w:cs="Arial"/>
          <w:b/>
          <w:sz w:val="24"/>
          <w:szCs w:val="24"/>
        </w:rPr>
        <w:t xml:space="preserve">email: </w:t>
      </w:r>
      <w:r w:rsidR="00E1211C">
        <w:rPr>
          <w:rFonts w:ascii="Arial" w:hAnsi="Arial" w:cs="Arial"/>
          <w:b/>
          <w:sz w:val="24"/>
          <w:szCs w:val="24"/>
        </w:rPr>
        <w:fldChar w:fldCharType="begin"/>
      </w:r>
      <w:r w:rsidR="00E1211C">
        <w:rPr>
          <w:rFonts w:ascii="Arial" w:hAnsi="Arial" w:cs="Arial"/>
          <w:b/>
          <w:sz w:val="24"/>
          <w:szCs w:val="24"/>
        </w:rPr>
        <w:instrText xml:space="preserve"> DOCPROPERTY  LeadOfficerEmail  \* MERGEFORMAT </w:instrText>
      </w:r>
      <w:r w:rsidR="00E1211C">
        <w:rPr>
          <w:rFonts w:ascii="Arial" w:hAnsi="Arial" w:cs="Arial"/>
          <w:b/>
          <w:sz w:val="24"/>
          <w:szCs w:val="24"/>
        </w:rPr>
        <w:fldChar w:fldCharType="separate"/>
      </w:r>
      <w:r w:rsidR="00E52B9D">
        <w:rPr>
          <w:rFonts w:ascii="Arial" w:hAnsi="Arial" w:cs="Arial"/>
          <w:b/>
          <w:sz w:val="24"/>
          <w:szCs w:val="24"/>
        </w:rPr>
        <w:t>sarah.parry@lancashire.gov.uk</w:t>
      </w:r>
      <w:r w:rsidR="00E1211C">
        <w:rPr>
          <w:rFonts w:ascii="Arial" w:hAnsi="Arial" w:cs="Arial"/>
          <w:b/>
          <w:sz w:val="24"/>
          <w:szCs w:val="24"/>
        </w:rPr>
        <w:fldChar w:fldCharType="end"/>
      </w:r>
    </w:p>
    <w:p w:rsidR="00D3134F" w:rsidRPr="00D3134F" w:rsidRDefault="00D3134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134F" w:rsidRPr="00D3134F" w:rsidTr="00914890">
        <w:tc>
          <w:tcPr>
            <w:tcW w:w="9180" w:type="dxa"/>
          </w:tcPr>
          <w:p w:rsidR="00D3134F" w:rsidRPr="00D3134F" w:rsidRDefault="00D3134F" w:rsidP="003C118F">
            <w:pPr>
              <w:pStyle w:val="Header"/>
              <w:rPr>
                <w:rFonts w:ascii="Arial" w:hAnsi="Arial" w:cs="Arial"/>
                <w:sz w:val="24"/>
                <w:szCs w:val="24"/>
              </w:rPr>
            </w:pPr>
          </w:p>
          <w:p w:rsidR="00D3134F" w:rsidRPr="00D3134F" w:rsidRDefault="00D3134F" w:rsidP="003C118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D3134F" w:rsidP="003C118F">
            <w:pPr>
              <w:spacing w:after="0" w:line="240" w:lineRule="auto"/>
              <w:rPr>
                <w:rFonts w:ascii="Arial" w:hAnsi="Arial" w:cs="Arial"/>
                <w:sz w:val="24"/>
                <w:szCs w:val="24"/>
              </w:rPr>
            </w:pPr>
          </w:p>
          <w:p w:rsidR="003C118F" w:rsidRDefault="00914890" w:rsidP="003C118F">
            <w:pPr>
              <w:tabs>
                <w:tab w:val="left" w:pos="29"/>
              </w:tabs>
              <w:spacing w:after="0" w:line="240" w:lineRule="auto"/>
              <w:rPr>
                <w:rFonts w:ascii="Arial" w:hAnsi="Arial" w:cs="Arial"/>
                <w:sz w:val="24"/>
                <w:szCs w:val="24"/>
              </w:rPr>
            </w:pPr>
            <w:r w:rsidRPr="005C68CD">
              <w:rPr>
                <w:rFonts w:ascii="Arial" w:hAnsi="Arial" w:cs="Arial"/>
                <w:sz w:val="24"/>
                <w:szCs w:val="24"/>
              </w:rPr>
              <w:t xml:space="preserve">This report provides the City Deal Executive and Stewardship Board (CD E&amp;SB) with an overview of how the Programme has performed during and up to 30 September 2017.  The report brings together both quantitative and qualitative information relating to the Core/Supporting Outputs and key projects/development sites in the Business and Delivery Plan.  </w:t>
            </w:r>
          </w:p>
          <w:p w:rsidR="003C118F" w:rsidRDefault="003C118F" w:rsidP="003C118F">
            <w:pPr>
              <w:tabs>
                <w:tab w:val="left" w:pos="29"/>
              </w:tabs>
              <w:spacing w:after="0" w:line="240" w:lineRule="auto"/>
              <w:rPr>
                <w:rFonts w:ascii="Arial" w:hAnsi="Arial" w:cs="Arial"/>
                <w:sz w:val="24"/>
                <w:szCs w:val="24"/>
              </w:rPr>
            </w:pPr>
          </w:p>
          <w:p w:rsidR="00914890" w:rsidRDefault="00914890" w:rsidP="003C118F">
            <w:pPr>
              <w:tabs>
                <w:tab w:val="left" w:pos="29"/>
              </w:tabs>
              <w:spacing w:after="0" w:line="240" w:lineRule="auto"/>
              <w:rPr>
                <w:rFonts w:ascii="Arial" w:hAnsi="Arial" w:cs="Arial"/>
                <w:sz w:val="24"/>
                <w:szCs w:val="24"/>
              </w:rPr>
            </w:pPr>
            <w:r w:rsidRPr="005C68CD">
              <w:rPr>
                <w:rFonts w:ascii="Arial" w:hAnsi="Arial" w:cs="Arial"/>
                <w:sz w:val="24"/>
                <w:szCs w:val="24"/>
              </w:rPr>
              <w:t xml:space="preserve">This information is used to report to </w:t>
            </w:r>
            <w:r>
              <w:rPr>
                <w:rFonts w:ascii="Arial" w:hAnsi="Arial" w:cs="Arial"/>
                <w:sz w:val="24"/>
                <w:szCs w:val="24"/>
              </w:rPr>
              <w:t>G</w:t>
            </w:r>
            <w:r w:rsidRPr="005C68CD">
              <w:rPr>
                <w:rFonts w:ascii="Arial" w:hAnsi="Arial" w:cs="Arial"/>
                <w:sz w:val="24"/>
                <w:szCs w:val="24"/>
              </w:rPr>
              <w:t>overnment on progress towards agreed targets and notes progress up to September 2017 only</w:t>
            </w:r>
            <w:r>
              <w:rPr>
                <w:rFonts w:ascii="Arial" w:hAnsi="Arial" w:cs="Arial"/>
                <w:sz w:val="24"/>
                <w:szCs w:val="24"/>
              </w:rPr>
              <w:t xml:space="preserve"> with the exception of Employment and Skills which presents a full end of year report (academic year 2016/17)</w:t>
            </w:r>
            <w:r w:rsidR="003C118F">
              <w:rPr>
                <w:rFonts w:ascii="Arial" w:hAnsi="Arial" w:cs="Arial"/>
                <w:sz w:val="24"/>
                <w:szCs w:val="24"/>
              </w:rPr>
              <w:t>.</w:t>
            </w:r>
          </w:p>
          <w:p w:rsidR="003C118F" w:rsidRPr="005C68CD" w:rsidRDefault="003C118F" w:rsidP="003C118F">
            <w:pPr>
              <w:tabs>
                <w:tab w:val="left" w:pos="29"/>
              </w:tabs>
              <w:spacing w:after="0" w:line="240" w:lineRule="auto"/>
              <w:rPr>
                <w:rFonts w:ascii="Arial" w:hAnsi="Arial" w:cs="Arial"/>
                <w:sz w:val="24"/>
                <w:szCs w:val="24"/>
              </w:rPr>
            </w:pPr>
          </w:p>
          <w:p w:rsidR="00914890" w:rsidRPr="005C68CD" w:rsidRDefault="00914890" w:rsidP="003C118F">
            <w:pPr>
              <w:tabs>
                <w:tab w:val="left" w:pos="29"/>
              </w:tabs>
              <w:spacing w:after="0" w:line="240" w:lineRule="auto"/>
              <w:rPr>
                <w:rFonts w:ascii="Arial" w:hAnsi="Arial" w:cs="Arial"/>
                <w:sz w:val="24"/>
                <w:szCs w:val="24"/>
              </w:rPr>
            </w:pPr>
            <w:r w:rsidRPr="005C68CD">
              <w:rPr>
                <w:rFonts w:ascii="Arial" w:hAnsi="Arial" w:cs="Arial"/>
                <w:sz w:val="24"/>
                <w:szCs w:val="24"/>
              </w:rPr>
              <w:t xml:space="preserve">The report provides an update on the following outputs and activities: </w:t>
            </w:r>
          </w:p>
          <w:p w:rsidR="00914890" w:rsidRPr="00E9485F" w:rsidRDefault="00914890" w:rsidP="003C118F">
            <w:pPr>
              <w:pStyle w:val="ListParagraph"/>
              <w:numPr>
                <w:ilvl w:val="0"/>
                <w:numId w:val="6"/>
              </w:numPr>
              <w:tabs>
                <w:tab w:val="left" w:pos="29"/>
              </w:tabs>
              <w:spacing w:after="0" w:line="240" w:lineRule="auto"/>
              <w:ind w:left="0" w:firstLine="0"/>
              <w:rPr>
                <w:rFonts w:ascii="Arial" w:hAnsi="Arial" w:cs="Arial"/>
                <w:sz w:val="24"/>
                <w:szCs w:val="24"/>
              </w:rPr>
            </w:pPr>
            <w:r w:rsidRPr="00E9485F">
              <w:rPr>
                <w:rFonts w:ascii="Arial" w:hAnsi="Arial" w:cs="Arial"/>
                <w:sz w:val="24"/>
                <w:szCs w:val="24"/>
              </w:rPr>
              <w:t>Housing outputs</w:t>
            </w:r>
          </w:p>
          <w:p w:rsidR="00914890" w:rsidRPr="00E9485F" w:rsidRDefault="00914890" w:rsidP="003C118F">
            <w:pPr>
              <w:pStyle w:val="ListParagraph"/>
              <w:numPr>
                <w:ilvl w:val="0"/>
                <w:numId w:val="6"/>
              </w:numPr>
              <w:tabs>
                <w:tab w:val="left" w:pos="29"/>
              </w:tabs>
              <w:spacing w:after="0" w:line="240" w:lineRule="auto"/>
              <w:ind w:left="0" w:firstLine="0"/>
              <w:rPr>
                <w:rFonts w:ascii="Arial" w:hAnsi="Arial" w:cs="Arial"/>
                <w:sz w:val="24"/>
                <w:szCs w:val="24"/>
              </w:rPr>
            </w:pPr>
            <w:r w:rsidRPr="00E9485F">
              <w:rPr>
                <w:rFonts w:ascii="Arial" w:hAnsi="Arial" w:cs="Arial"/>
                <w:sz w:val="24"/>
                <w:szCs w:val="24"/>
              </w:rPr>
              <w:t xml:space="preserve">Commercial </w:t>
            </w:r>
            <w:proofErr w:type="spellStart"/>
            <w:r w:rsidRPr="00E9485F">
              <w:rPr>
                <w:rFonts w:ascii="Arial" w:hAnsi="Arial" w:cs="Arial"/>
                <w:sz w:val="24"/>
                <w:szCs w:val="24"/>
              </w:rPr>
              <w:t>floorspace</w:t>
            </w:r>
            <w:proofErr w:type="spellEnd"/>
            <w:r w:rsidRPr="00E9485F">
              <w:rPr>
                <w:rFonts w:ascii="Arial" w:hAnsi="Arial" w:cs="Arial"/>
                <w:sz w:val="24"/>
                <w:szCs w:val="24"/>
              </w:rPr>
              <w:t xml:space="preserve"> outputs</w:t>
            </w:r>
          </w:p>
          <w:p w:rsidR="00914890" w:rsidRPr="00E9485F" w:rsidRDefault="00914890" w:rsidP="003C118F">
            <w:pPr>
              <w:pStyle w:val="ListParagraph"/>
              <w:numPr>
                <w:ilvl w:val="0"/>
                <w:numId w:val="6"/>
              </w:numPr>
              <w:tabs>
                <w:tab w:val="left" w:pos="29"/>
              </w:tabs>
              <w:spacing w:after="0" w:line="240" w:lineRule="auto"/>
              <w:ind w:left="0" w:firstLine="0"/>
              <w:rPr>
                <w:rFonts w:ascii="Arial" w:hAnsi="Arial" w:cs="Arial"/>
                <w:sz w:val="24"/>
                <w:szCs w:val="24"/>
              </w:rPr>
            </w:pPr>
            <w:r w:rsidRPr="00E9485F">
              <w:rPr>
                <w:rFonts w:ascii="Arial" w:hAnsi="Arial" w:cs="Arial"/>
                <w:sz w:val="24"/>
                <w:szCs w:val="24"/>
              </w:rPr>
              <w:t xml:space="preserve">Jobs related to commercial </w:t>
            </w:r>
            <w:proofErr w:type="spellStart"/>
            <w:r w:rsidRPr="00E9485F">
              <w:rPr>
                <w:rFonts w:ascii="Arial" w:hAnsi="Arial" w:cs="Arial"/>
                <w:sz w:val="24"/>
                <w:szCs w:val="24"/>
              </w:rPr>
              <w:t>floorspace</w:t>
            </w:r>
            <w:proofErr w:type="spellEnd"/>
            <w:r w:rsidRPr="00E9485F">
              <w:rPr>
                <w:rFonts w:ascii="Arial" w:hAnsi="Arial" w:cs="Arial"/>
                <w:sz w:val="24"/>
                <w:szCs w:val="24"/>
              </w:rPr>
              <w:t>/infrastructure</w:t>
            </w:r>
            <w:r>
              <w:rPr>
                <w:rFonts w:ascii="Arial" w:hAnsi="Arial" w:cs="Arial"/>
                <w:sz w:val="24"/>
                <w:szCs w:val="24"/>
              </w:rPr>
              <w:t>/business support</w:t>
            </w:r>
          </w:p>
          <w:p w:rsidR="00914890" w:rsidRPr="00E9485F" w:rsidRDefault="00914890" w:rsidP="003C118F">
            <w:pPr>
              <w:pStyle w:val="ListParagraph"/>
              <w:numPr>
                <w:ilvl w:val="0"/>
                <w:numId w:val="6"/>
              </w:numPr>
              <w:tabs>
                <w:tab w:val="left" w:pos="29"/>
              </w:tabs>
              <w:spacing w:after="0" w:line="240" w:lineRule="auto"/>
              <w:ind w:left="0" w:firstLine="0"/>
              <w:rPr>
                <w:rFonts w:ascii="Arial" w:hAnsi="Arial" w:cs="Arial"/>
                <w:sz w:val="24"/>
                <w:szCs w:val="24"/>
              </w:rPr>
            </w:pPr>
            <w:r w:rsidRPr="00E9485F">
              <w:rPr>
                <w:rFonts w:ascii="Arial" w:hAnsi="Arial" w:cs="Arial"/>
                <w:sz w:val="24"/>
                <w:szCs w:val="24"/>
              </w:rPr>
              <w:t>Employment and skills</w:t>
            </w:r>
          </w:p>
          <w:p w:rsidR="00914890" w:rsidRPr="00E9485F" w:rsidRDefault="00914890" w:rsidP="003C118F">
            <w:pPr>
              <w:pStyle w:val="ListParagraph"/>
              <w:numPr>
                <w:ilvl w:val="0"/>
                <w:numId w:val="6"/>
              </w:numPr>
              <w:tabs>
                <w:tab w:val="left" w:pos="29"/>
              </w:tabs>
              <w:spacing w:after="0" w:line="240" w:lineRule="auto"/>
              <w:ind w:left="0" w:firstLine="0"/>
              <w:rPr>
                <w:rFonts w:ascii="Arial" w:hAnsi="Arial" w:cs="Arial"/>
                <w:sz w:val="24"/>
                <w:szCs w:val="24"/>
              </w:rPr>
            </w:pPr>
            <w:r w:rsidRPr="00E9485F">
              <w:rPr>
                <w:rFonts w:ascii="Arial" w:hAnsi="Arial" w:cs="Arial"/>
                <w:sz w:val="24"/>
                <w:szCs w:val="24"/>
              </w:rPr>
              <w:t>Public and private sector investment</w:t>
            </w:r>
          </w:p>
          <w:p w:rsidR="00914890" w:rsidRPr="00E9485F" w:rsidRDefault="00914890" w:rsidP="003C118F">
            <w:pPr>
              <w:pStyle w:val="ListParagraph"/>
              <w:numPr>
                <w:ilvl w:val="0"/>
                <w:numId w:val="6"/>
              </w:numPr>
              <w:tabs>
                <w:tab w:val="left" w:pos="29"/>
              </w:tabs>
              <w:spacing w:after="0" w:line="240" w:lineRule="auto"/>
              <w:ind w:left="0" w:firstLine="0"/>
              <w:rPr>
                <w:rFonts w:ascii="Arial" w:hAnsi="Arial" w:cs="Arial"/>
                <w:sz w:val="24"/>
                <w:szCs w:val="24"/>
              </w:rPr>
            </w:pPr>
            <w:r w:rsidRPr="00E9485F">
              <w:rPr>
                <w:rFonts w:ascii="Arial" w:hAnsi="Arial" w:cs="Arial"/>
                <w:sz w:val="24"/>
                <w:szCs w:val="24"/>
              </w:rPr>
              <w:t>Infrastructure</w:t>
            </w:r>
          </w:p>
          <w:p w:rsidR="00914890" w:rsidRPr="00E9485F" w:rsidRDefault="00914890" w:rsidP="003C118F">
            <w:pPr>
              <w:pStyle w:val="ListParagraph"/>
              <w:numPr>
                <w:ilvl w:val="0"/>
                <w:numId w:val="6"/>
              </w:numPr>
              <w:tabs>
                <w:tab w:val="left" w:pos="29"/>
              </w:tabs>
              <w:spacing w:after="0" w:line="240" w:lineRule="auto"/>
              <w:ind w:left="0" w:firstLine="0"/>
              <w:rPr>
                <w:rFonts w:ascii="Arial" w:hAnsi="Arial" w:cs="Arial"/>
                <w:sz w:val="24"/>
                <w:szCs w:val="24"/>
              </w:rPr>
            </w:pPr>
            <w:r w:rsidRPr="00E9485F">
              <w:rPr>
                <w:rFonts w:ascii="Arial" w:hAnsi="Arial" w:cs="Arial"/>
                <w:sz w:val="24"/>
                <w:szCs w:val="24"/>
              </w:rPr>
              <w:t>Risk Management</w:t>
            </w:r>
          </w:p>
          <w:p w:rsidR="00914890" w:rsidRDefault="00914890" w:rsidP="003C118F">
            <w:pPr>
              <w:tabs>
                <w:tab w:val="left" w:pos="426"/>
              </w:tabs>
              <w:spacing w:after="0" w:line="240" w:lineRule="auto"/>
              <w:rPr>
                <w:rFonts w:ascii="Arial" w:hAnsi="Arial" w:cs="Arial"/>
                <w:sz w:val="24"/>
                <w:szCs w:val="24"/>
              </w:rPr>
            </w:pPr>
          </w:p>
          <w:p w:rsidR="00914890" w:rsidRDefault="00914890" w:rsidP="003C118F">
            <w:pPr>
              <w:tabs>
                <w:tab w:val="left" w:pos="426"/>
              </w:tabs>
              <w:spacing w:after="0" w:line="240" w:lineRule="auto"/>
              <w:rPr>
                <w:rFonts w:ascii="Arial" w:hAnsi="Arial" w:cs="Arial"/>
                <w:sz w:val="24"/>
                <w:szCs w:val="24"/>
              </w:rPr>
            </w:pPr>
            <w:r>
              <w:rPr>
                <w:rFonts w:ascii="Arial" w:hAnsi="Arial" w:cs="Arial"/>
                <w:sz w:val="24"/>
                <w:szCs w:val="24"/>
              </w:rPr>
              <w:t xml:space="preserve">Accompanying the report are a series of themed dashboards providing an overview of performance and key issues across </w:t>
            </w:r>
            <w:proofErr w:type="gramStart"/>
            <w:r>
              <w:rPr>
                <w:rFonts w:ascii="Arial" w:hAnsi="Arial" w:cs="Arial"/>
                <w:sz w:val="24"/>
                <w:szCs w:val="24"/>
              </w:rPr>
              <w:t>themes.</w:t>
            </w:r>
            <w:proofErr w:type="gramEnd"/>
            <w:r>
              <w:rPr>
                <w:rFonts w:ascii="Arial" w:hAnsi="Arial" w:cs="Arial"/>
                <w:sz w:val="24"/>
                <w:szCs w:val="24"/>
              </w:rPr>
              <w:t xml:space="preserve">  The dashboards can be found in the following appendices. </w:t>
            </w:r>
          </w:p>
          <w:p w:rsidR="003C118F" w:rsidRDefault="003C118F" w:rsidP="003C118F">
            <w:pPr>
              <w:tabs>
                <w:tab w:val="left" w:pos="426"/>
              </w:tabs>
              <w:spacing w:after="0" w:line="240" w:lineRule="auto"/>
              <w:rPr>
                <w:rFonts w:ascii="Arial" w:hAnsi="Arial" w:cs="Arial"/>
                <w:sz w:val="24"/>
                <w:szCs w:val="24"/>
              </w:rPr>
            </w:pPr>
          </w:p>
          <w:p w:rsidR="00914890" w:rsidRPr="005C68CD" w:rsidRDefault="00914890" w:rsidP="003C118F">
            <w:pPr>
              <w:tabs>
                <w:tab w:val="left" w:pos="426"/>
              </w:tabs>
              <w:spacing w:after="0" w:line="240" w:lineRule="auto"/>
              <w:ind w:left="360" w:hanging="360"/>
              <w:rPr>
                <w:rFonts w:ascii="Arial" w:hAnsi="Arial" w:cs="Arial"/>
                <w:sz w:val="24"/>
                <w:szCs w:val="24"/>
              </w:rPr>
            </w:pPr>
            <w:r w:rsidRPr="005C68CD">
              <w:rPr>
                <w:rFonts w:ascii="Arial" w:hAnsi="Arial" w:cs="Arial"/>
                <w:sz w:val="24"/>
                <w:szCs w:val="24"/>
              </w:rPr>
              <w:t>Appendix 1 – City Deal Overview – key outputs and performance</w:t>
            </w:r>
          </w:p>
          <w:p w:rsidR="00914890" w:rsidRPr="005C68CD" w:rsidRDefault="00914890" w:rsidP="003C118F">
            <w:pPr>
              <w:tabs>
                <w:tab w:val="left" w:pos="426"/>
              </w:tabs>
              <w:spacing w:after="0" w:line="240" w:lineRule="auto"/>
              <w:ind w:left="360" w:hanging="360"/>
              <w:rPr>
                <w:rFonts w:ascii="Arial" w:hAnsi="Arial" w:cs="Arial"/>
                <w:sz w:val="24"/>
                <w:szCs w:val="24"/>
              </w:rPr>
            </w:pPr>
            <w:r w:rsidRPr="005C68CD">
              <w:rPr>
                <w:rFonts w:ascii="Arial" w:hAnsi="Arial" w:cs="Arial"/>
                <w:sz w:val="24"/>
                <w:szCs w:val="24"/>
              </w:rPr>
              <w:t>Appendix 2 – City Deal housing and employment sites update</w:t>
            </w:r>
          </w:p>
          <w:p w:rsidR="00914890" w:rsidRPr="005C68CD" w:rsidRDefault="00914890" w:rsidP="003C118F">
            <w:pPr>
              <w:tabs>
                <w:tab w:val="left" w:pos="426"/>
              </w:tabs>
              <w:spacing w:after="0" w:line="240" w:lineRule="auto"/>
              <w:ind w:left="360" w:hanging="360"/>
              <w:rPr>
                <w:rFonts w:ascii="Arial" w:hAnsi="Arial" w:cs="Arial"/>
                <w:sz w:val="24"/>
                <w:szCs w:val="24"/>
              </w:rPr>
            </w:pPr>
            <w:r w:rsidRPr="005C68CD">
              <w:rPr>
                <w:rFonts w:ascii="Arial" w:hAnsi="Arial" w:cs="Arial"/>
                <w:sz w:val="24"/>
                <w:szCs w:val="24"/>
              </w:rPr>
              <w:t>Appendix 3 –</w:t>
            </w:r>
            <w:r w:rsidR="002C2305">
              <w:rPr>
                <w:rFonts w:ascii="Arial" w:hAnsi="Arial" w:cs="Arial"/>
                <w:sz w:val="24"/>
                <w:szCs w:val="24"/>
              </w:rPr>
              <w:t xml:space="preserve"> Employment and Skills Case </w:t>
            </w:r>
            <w:proofErr w:type="spellStart"/>
            <w:r w:rsidR="002C2305">
              <w:rPr>
                <w:rFonts w:ascii="Arial" w:hAnsi="Arial" w:cs="Arial"/>
                <w:sz w:val="24"/>
                <w:szCs w:val="24"/>
              </w:rPr>
              <w:t>Studeis</w:t>
            </w:r>
            <w:proofErr w:type="spellEnd"/>
          </w:p>
          <w:p w:rsidR="00914890" w:rsidRDefault="00914890" w:rsidP="003C118F">
            <w:pPr>
              <w:tabs>
                <w:tab w:val="left" w:pos="426"/>
              </w:tabs>
              <w:spacing w:after="0" w:line="240" w:lineRule="auto"/>
              <w:ind w:left="360" w:hanging="360"/>
              <w:rPr>
                <w:rFonts w:ascii="Arial" w:hAnsi="Arial" w:cs="Arial"/>
                <w:sz w:val="24"/>
                <w:szCs w:val="24"/>
              </w:rPr>
            </w:pPr>
            <w:r w:rsidRPr="005C68CD">
              <w:rPr>
                <w:rFonts w:ascii="Arial" w:hAnsi="Arial" w:cs="Arial"/>
                <w:sz w:val="24"/>
                <w:szCs w:val="24"/>
              </w:rPr>
              <w:t xml:space="preserve">Appendix 4 – </w:t>
            </w:r>
            <w:r w:rsidR="002C2305">
              <w:rPr>
                <w:rFonts w:ascii="Arial" w:hAnsi="Arial" w:cs="Arial"/>
                <w:sz w:val="24"/>
                <w:szCs w:val="24"/>
              </w:rPr>
              <w:t>Infrastructure Delivery</w:t>
            </w:r>
          </w:p>
          <w:p w:rsidR="00D3134F" w:rsidRPr="00D3134F" w:rsidRDefault="00D3134F" w:rsidP="003C118F">
            <w:pPr>
              <w:spacing w:after="0" w:line="240" w:lineRule="auto"/>
              <w:rPr>
                <w:rFonts w:ascii="Arial" w:hAnsi="Arial" w:cs="Arial"/>
                <w:sz w:val="24"/>
                <w:szCs w:val="24"/>
              </w:rPr>
            </w:pPr>
          </w:p>
          <w:p w:rsidR="00F31C61" w:rsidRDefault="00F31C61" w:rsidP="003C118F">
            <w:pPr>
              <w:pStyle w:val="Heading5"/>
              <w:spacing w:before="0" w:line="240" w:lineRule="auto"/>
              <w:rPr>
                <w:rFonts w:ascii="Arial" w:hAnsi="Arial" w:cs="Arial"/>
                <w:b/>
                <w:color w:val="auto"/>
              </w:rPr>
            </w:pPr>
          </w:p>
          <w:p w:rsidR="00D3134F" w:rsidRPr="00D3134F" w:rsidRDefault="00D3134F" w:rsidP="003C118F">
            <w:pPr>
              <w:pStyle w:val="Heading5"/>
              <w:spacing w:before="0" w:line="240" w:lineRule="auto"/>
              <w:rPr>
                <w:rFonts w:ascii="Arial" w:hAnsi="Arial" w:cs="Arial"/>
                <w:b/>
                <w:color w:val="auto"/>
              </w:rPr>
            </w:pPr>
            <w:bookmarkStart w:id="0" w:name="_GoBack"/>
            <w:bookmarkEnd w:id="0"/>
            <w:r w:rsidRPr="00D3134F">
              <w:rPr>
                <w:rFonts w:ascii="Arial" w:hAnsi="Arial" w:cs="Arial"/>
                <w:b/>
                <w:color w:val="auto"/>
              </w:rPr>
              <w:t>Recommendation</w:t>
            </w:r>
          </w:p>
          <w:p w:rsidR="00D3134F" w:rsidRPr="00D3134F" w:rsidRDefault="00D3134F" w:rsidP="003C118F">
            <w:pPr>
              <w:spacing w:after="0" w:line="240" w:lineRule="auto"/>
              <w:rPr>
                <w:rFonts w:ascii="Arial" w:hAnsi="Arial" w:cs="Arial"/>
                <w:sz w:val="24"/>
                <w:szCs w:val="24"/>
              </w:rPr>
            </w:pPr>
          </w:p>
          <w:p w:rsidR="00914890" w:rsidRPr="005C68CD" w:rsidRDefault="00914890" w:rsidP="003C118F">
            <w:pPr>
              <w:spacing w:after="0" w:line="240" w:lineRule="auto"/>
              <w:rPr>
                <w:rFonts w:ascii="Arial" w:hAnsi="Arial" w:cs="Arial"/>
                <w:sz w:val="24"/>
                <w:szCs w:val="24"/>
              </w:rPr>
            </w:pPr>
            <w:r w:rsidRPr="005C68CD">
              <w:rPr>
                <w:rFonts w:ascii="Arial" w:hAnsi="Arial" w:cs="Arial"/>
                <w:sz w:val="24"/>
                <w:szCs w:val="24"/>
              </w:rPr>
              <w:t xml:space="preserve">The City Deal Executive and Stewardship Board is requested to: </w:t>
            </w:r>
          </w:p>
          <w:p w:rsidR="00914890" w:rsidRPr="005C68CD" w:rsidRDefault="00914890" w:rsidP="003C118F">
            <w:pPr>
              <w:spacing w:after="0" w:line="240" w:lineRule="auto"/>
              <w:rPr>
                <w:rFonts w:ascii="Arial" w:hAnsi="Arial" w:cs="Arial"/>
                <w:sz w:val="24"/>
                <w:szCs w:val="24"/>
              </w:rPr>
            </w:pPr>
          </w:p>
          <w:p w:rsidR="003C118F" w:rsidRPr="003C118F" w:rsidRDefault="00914890" w:rsidP="003C118F">
            <w:pPr>
              <w:pStyle w:val="ListParagraph"/>
              <w:numPr>
                <w:ilvl w:val="0"/>
                <w:numId w:val="18"/>
              </w:numPr>
              <w:spacing w:after="0" w:line="240" w:lineRule="auto"/>
              <w:rPr>
                <w:rFonts w:ascii="Arial" w:hAnsi="Arial" w:cs="Arial"/>
                <w:b/>
                <w:sz w:val="24"/>
                <w:szCs w:val="24"/>
              </w:rPr>
            </w:pPr>
            <w:r w:rsidRPr="003C118F">
              <w:rPr>
                <w:rFonts w:ascii="Arial" w:hAnsi="Arial" w:cs="Arial"/>
                <w:sz w:val="24"/>
                <w:szCs w:val="24"/>
              </w:rPr>
              <w:t>Note the overall performance of the Programme up to September 2017</w:t>
            </w:r>
            <w:r w:rsidR="003C118F">
              <w:rPr>
                <w:rFonts w:ascii="Arial" w:hAnsi="Arial" w:cs="Arial"/>
                <w:sz w:val="24"/>
                <w:szCs w:val="24"/>
              </w:rPr>
              <w:t>;</w:t>
            </w:r>
            <w:r w:rsidRPr="003C118F">
              <w:rPr>
                <w:rFonts w:ascii="Arial" w:hAnsi="Arial" w:cs="Arial"/>
                <w:sz w:val="24"/>
                <w:szCs w:val="24"/>
              </w:rPr>
              <w:t xml:space="preserve"> and </w:t>
            </w:r>
          </w:p>
          <w:p w:rsidR="003C118F" w:rsidRPr="003C118F" w:rsidRDefault="003C118F" w:rsidP="003C118F">
            <w:pPr>
              <w:pStyle w:val="ListParagraph"/>
              <w:spacing w:after="0" w:line="240" w:lineRule="auto"/>
              <w:ind w:left="1080"/>
              <w:rPr>
                <w:rFonts w:ascii="Arial" w:hAnsi="Arial" w:cs="Arial"/>
                <w:b/>
                <w:sz w:val="24"/>
                <w:szCs w:val="24"/>
              </w:rPr>
            </w:pPr>
          </w:p>
          <w:p w:rsidR="00914890" w:rsidRPr="003C118F" w:rsidRDefault="003C118F" w:rsidP="003C118F">
            <w:pPr>
              <w:pStyle w:val="ListParagraph"/>
              <w:numPr>
                <w:ilvl w:val="0"/>
                <w:numId w:val="18"/>
              </w:numPr>
              <w:spacing w:after="0" w:line="240" w:lineRule="auto"/>
              <w:rPr>
                <w:rFonts w:ascii="Arial" w:hAnsi="Arial" w:cs="Arial"/>
                <w:b/>
                <w:sz w:val="24"/>
                <w:szCs w:val="24"/>
              </w:rPr>
            </w:pPr>
            <w:r>
              <w:rPr>
                <w:rFonts w:ascii="Arial" w:hAnsi="Arial" w:cs="Arial"/>
                <w:sz w:val="24"/>
                <w:szCs w:val="24"/>
              </w:rPr>
              <w:t>E</w:t>
            </w:r>
            <w:r w:rsidR="00914890" w:rsidRPr="003C118F">
              <w:rPr>
                <w:rFonts w:ascii="Arial" w:hAnsi="Arial" w:cs="Arial"/>
                <w:sz w:val="24"/>
                <w:szCs w:val="24"/>
              </w:rPr>
              <w:t>ndorse the proposed Monitoring Return to Government as set out in the report for the 6 month period April 2017-September 2017.</w:t>
            </w:r>
          </w:p>
          <w:p w:rsidR="00D3134F" w:rsidRPr="00D3134F" w:rsidRDefault="00D3134F" w:rsidP="003C118F">
            <w:pPr>
              <w:spacing w:after="0" w:line="240" w:lineRule="auto"/>
              <w:rPr>
                <w:rFonts w:ascii="Arial" w:hAnsi="Arial" w:cs="Arial"/>
                <w:sz w:val="24"/>
                <w:szCs w:val="24"/>
              </w:rPr>
            </w:pPr>
          </w:p>
        </w:tc>
      </w:tr>
    </w:tbl>
    <w:p w:rsidR="00D3134F" w:rsidRPr="00D3134F" w:rsidRDefault="00D3134F" w:rsidP="003C118F">
      <w:pPr>
        <w:pStyle w:val="Header"/>
        <w:rPr>
          <w:rFonts w:ascii="Arial" w:hAnsi="Arial" w:cs="Arial"/>
          <w:sz w:val="24"/>
          <w:szCs w:val="24"/>
        </w:rPr>
      </w:pPr>
    </w:p>
    <w:p w:rsidR="00D3134F" w:rsidRPr="00D3134F" w:rsidRDefault="00D3134F" w:rsidP="003C118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D3134F" w:rsidP="003C118F">
      <w:pPr>
        <w:spacing w:after="0" w:line="240" w:lineRule="auto"/>
        <w:rPr>
          <w:rFonts w:ascii="Arial" w:hAnsi="Arial" w:cs="Arial"/>
          <w:b/>
          <w:sz w:val="24"/>
          <w:szCs w:val="24"/>
        </w:rPr>
      </w:pPr>
    </w:p>
    <w:p w:rsidR="00914890" w:rsidRDefault="00914890" w:rsidP="003C118F">
      <w:pPr>
        <w:tabs>
          <w:tab w:val="left" w:pos="426"/>
        </w:tabs>
        <w:spacing w:after="0" w:line="240" w:lineRule="auto"/>
        <w:rPr>
          <w:rFonts w:ascii="Arial" w:hAnsi="Arial" w:cs="Arial"/>
          <w:sz w:val="24"/>
          <w:szCs w:val="24"/>
        </w:rPr>
      </w:pPr>
      <w:r w:rsidRPr="005C68CD">
        <w:rPr>
          <w:rFonts w:ascii="Arial" w:hAnsi="Arial" w:cs="Arial"/>
          <w:sz w:val="24"/>
          <w:szCs w:val="24"/>
        </w:rPr>
        <w:t>The Preston, South Ribble and Lancashire City Deal is a 10 year Programme to provide key infrastructure in support of the delivery of over 17,000</w:t>
      </w:r>
      <w:r>
        <w:rPr>
          <w:rFonts w:ascii="Arial" w:hAnsi="Arial" w:cs="Arial"/>
          <w:sz w:val="24"/>
          <w:szCs w:val="24"/>
        </w:rPr>
        <w:t xml:space="preserve"> houses</w:t>
      </w:r>
      <w:r w:rsidRPr="005C68CD">
        <w:rPr>
          <w:rFonts w:ascii="Arial" w:hAnsi="Arial" w:cs="Arial"/>
          <w:sz w:val="24"/>
          <w:szCs w:val="24"/>
        </w:rPr>
        <w:t xml:space="preserve">, over 1m </w:t>
      </w:r>
      <w:proofErr w:type="spellStart"/>
      <w:r w:rsidRPr="005C68CD">
        <w:rPr>
          <w:rFonts w:ascii="Arial" w:hAnsi="Arial" w:cs="Arial"/>
          <w:sz w:val="24"/>
          <w:szCs w:val="24"/>
        </w:rPr>
        <w:t>sqm</w:t>
      </w:r>
      <w:proofErr w:type="spellEnd"/>
      <w:r w:rsidRPr="005C68CD">
        <w:rPr>
          <w:rFonts w:ascii="Arial" w:hAnsi="Arial" w:cs="Arial"/>
          <w:sz w:val="24"/>
          <w:szCs w:val="24"/>
        </w:rPr>
        <w:t xml:space="preserve"> of commercial </w:t>
      </w:r>
      <w:proofErr w:type="spellStart"/>
      <w:r w:rsidRPr="005C68CD">
        <w:rPr>
          <w:rFonts w:ascii="Arial" w:hAnsi="Arial" w:cs="Arial"/>
          <w:sz w:val="24"/>
          <w:szCs w:val="24"/>
        </w:rPr>
        <w:t>floorspace</w:t>
      </w:r>
      <w:proofErr w:type="spellEnd"/>
      <w:r w:rsidRPr="005C68CD">
        <w:rPr>
          <w:rFonts w:ascii="Arial" w:hAnsi="Arial" w:cs="Arial"/>
          <w:sz w:val="24"/>
          <w:szCs w:val="24"/>
        </w:rPr>
        <w:t xml:space="preserve"> and around 20,000 jobs.</w:t>
      </w:r>
    </w:p>
    <w:p w:rsidR="003C118F" w:rsidRPr="005C68CD" w:rsidRDefault="003C118F" w:rsidP="003C118F">
      <w:pPr>
        <w:tabs>
          <w:tab w:val="left" w:pos="426"/>
        </w:tabs>
        <w:spacing w:after="0" w:line="240" w:lineRule="auto"/>
        <w:rPr>
          <w:rFonts w:ascii="Arial" w:hAnsi="Arial" w:cs="Arial"/>
          <w:sz w:val="24"/>
          <w:szCs w:val="24"/>
        </w:rPr>
      </w:pPr>
    </w:p>
    <w:p w:rsidR="00914890" w:rsidRDefault="00914890" w:rsidP="003C118F">
      <w:pPr>
        <w:tabs>
          <w:tab w:val="left" w:pos="426"/>
        </w:tabs>
        <w:spacing w:after="0" w:line="240" w:lineRule="auto"/>
        <w:rPr>
          <w:rFonts w:ascii="Arial" w:hAnsi="Arial" w:cs="Arial"/>
          <w:sz w:val="24"/>
          <w:szCs w:val="24"/>
        </w:rPr>
      </w:pPr>
      <w:r w:rsidRPr="005C68CD">
        <w:rPr>
          <w:rFonts w:ascii="Arial" w:hAnsi="Arial" w:cs="Arial"/>
          <w:sz w:val="24"/>
          <w:szCs w:val="24"/>
        </w:rPr>
        <w:t xml:space="preserve">Monitoring metrics have been agreed between Government and </w:t>
      </w:r>
      <w:r>
        <w:rPr>
          <w:rFonts w:ascii="Arial" w:hAnsi="Arial" w:cs="Arial"/>
          <w:sz w:val="24"/>
          <w:szCs w:val="24"/>
        </w:rPr>
        <w:t xml:space="preserve">the </w:t>
      </w:r>
      <w:r w:rsidRPr="005C68CD">
        <w:rPr>
          <w:rFonts w:ascii="Arial" w:hAnsi="Arial" w:cs="Arial"/>
          <w:sz w:val="24"/>
          <w:szCs w:val="24"/>
        </w:rPr>
        <w:t xml:space="preserve">City Deal Executive and Stewardship Board (E&amp;SB) in order to monitor progress and manage risk. The primary purpose of this report is to set out progress against the core and supporting metrics agreed and reported in the tables below.  As well as providing an indication of overall direction of travel the report </w:t>
      </w:r>
      <w:r>
        <w:rPr>
          <w:rFonts w:ascii="Arial" w:hAnsi="Arial" w:cs="Arial"/>
          <w:sz w:val="24"/>
          <w:szCs w:val="24"/>
        </w:rPr>
        <w:t>also</w:t>
      </w:r>
      <w:r w:rsidRPr="005C68CD">
        <w:rPr>
          <w:rFonts w:ascii="Arial" w:hAnsi="Arial" w:cs="Arial"/>
          <w:sz w:val="24"/>
          <w:szCs w:val="24"/>
        </w:rPr>
        <w:t xml:space="preserve"> describe</w:t>
      </w:r>
      <w:r>
        <w:rPr>
          <w:rFonts w:ascii="Arial" w:hAnsi="Arial" w:cs="Arial"/>
          <w:sz w:val="24"/>
          <w:szCs w:val="24"/>
        </w:rPr>
        <w:t>s</w:t>
      </w:r>
      <w:r w:rsidRPr="005C68CD">
        <w:rPr>
          <w:rFonts w:ascii="Arial" w:hAnsi="Arial" w:cs="Arial"/>
          <w:sz w:val="24"/>
          <w:szCs w:val="24"/>
        </w:rPr>
        <w:t xml:space="preserve"> some of the activities being undertaken to identify and address issues and risks to overall delivery.</w:t>
      </w:r>
    </w:p>
    <w:p w:rsidR="003C118F" w:rsidRPr="005C68CD" w:rsidRDefault="003C118F" w:rsidP="003C118F">
      <w:pPr>
        <w:tabs>
          <w:tab w:val="left" w:pos="426"/>
        </w:tabs>
        <w:spacing w:after="0" w:line="240" w:lineRule="auto"/>
        <w:rPr>
          <w:rFonts w:ascii="Arial" w:hAnsi="Arial" w:cs="Arial"/>
          <w:sz w:val="24"/>
          <w:szCs w:val="24"/>
        </w:rPr>
      </w:pPr>
    </w:p>
    <w:p w:rsidR="00914890" w:rsidRDefault="00914890" w:rsidP="003C118F">
      <w:pPr>
        <w:tabs>
          <w:tab w:val="left" w:pos="426"/>
        </w:tabs>
        <w:spacing w:after="0" w:line="240" w:lineRule="auto"/>
        <w:rPr>
          <w:rFonts w:ascii="Arial" w:hAnsi="Arial" w:cs="Arial"/>
          <w:b/>
          <w:sz w:val="24"/>
          <w:szCs w:val="24"/>
        </w:rPr>
      </w:pPr>
      <w:r w:rsidRPr="005C68CD">
        <w:rPr>
          <w:rFonts w:ascii="Arial" w:hAnsi="Arial" w:cs="Arial"/>
          <w:b/>
          <w:sz w:val="24"/>
          <w:szCs w:val="24"/>
        </w:rPr>
        <w:t xml:space="preserve">Housing Outputs </w:t>
      </w:r>
      <w:r>
        <w:rPr>
          <w:rFonts w:ascii="Arial" w:hAnsi="Arial" w:cs="Arial"/>
          <w:b/>
          <w:sz w:val="24"/>
          <w:szCs w:val="24"/>
        </w:rPr>
        <w:t>–</w:t>
      </w:r>
      <w:r w:rsidR="003C118F">
        <w:rPr>
          <w:rFonts w:ascii="Arial" w:hAnsi="Arial" w:cs="Arial"/>
          <w:b/>
          <w:sz w:val="24"/>
          <w:szCs w:val="24"/>
        </w:rPr>
        <w:t xml:space="preserve"> see A</w:t>
      </w:r>
      <w:r>
        <w:rPr>
          <w:rFonts w:ascii="Arial" w:hAnsi="Arial" w:cs="Arial"/>
          <w:b/>
          <w:sz w:val="24"/>
          <w:szCs w:val="24"/>
        </w:rPr>
        <w:t>ppendices 1 and 2</w:t>
      </w:r>
    </w:p>
    <w:p w:rsidR="003C118F" w:rsidRPr="005C68CD" w:rsidRDefault="003C118F" w:rsidP="003C118F">
      <w:pPr>
        <w:tabs>
          <w:tab w:val="left" w:pos="426"/>
        </w:tabs>
        <w:spacing w:after="0" w:line="240" w:lineRule="auto"/>
        <w:rPr>
          <w:rFonts w:ascii="Arial" w:hAnsi="Arial" w:cs="Arial"/>
          <w:b/>
          <w:sz w:val="24"/>
          <w:szCs w:val="24"/>
        </w:rPr>
      </w:pPr>
    </w:p>
    <w:p w:rsidR="00914890" w:rsidRDefault="00914890" w:rsidP="003C118F">
      <w:pPr>
        <w:tabs>
          <w:tab w:val="left" w:pos="426"/>
        </w:tabs>
        <w:spacing w:after="0" w:line="240" w:lineRule="auto"/>
        <w:rPr>
          <w:rFonts w:ascii="Arial" w:hAnsi="Arial" w:cs="Arial"/>
          <w:b/>
          <w:sz w:val="24"/>
          <w:szCs w:val="24"/>
        </w:rPr>
      </w:pPr>
      <w:r w:rsidRPr="005C68CD">
        <w:rPr>
          <w:rFonts w:ascii="Arial" w:hAnsi="Arial" w:cs="Arial"/>
          <w:b/>
          <w:sz w:val="24"/>
          <w:szCs w:val="24"/>
        </w:rPr>
        <w:t>Housing Unit Completions</w:t>
      </w:r>
    </w:p>
    <w:p w:rsidR="003C118F" w:rsidRPr="005C68CD" w:rsidRDefault="003C118F" w:rsidP="003C118F">
      <w:pPr>
        <w:tabs>
          <w:tab w:val="left" w:pos="426"/>
        </w:tabs>
        <w:spacing w:after="0" w:line="240" w:lineRule="auto"/>
        <w:rPr>
          <w:rFonts w:ascii="Arial" w:hAnsi="Arial" w:cs="Arial"/>
          <w:b/>
          <w:sz w:val="24"/>
          <w:szCs w:val="24"/>
        </w:rPr>
      </w:pPr>
    </w:p>
    <w:p w:rsidR="00914890" w:rsidRDefault="00914890" w:rsidP="003C118F">
      <w:pPr>
        <w:tabs>
          <w:tab w:val="left" w:pos="426"/>
        </w:tabs>
        <w:spacing w:after="0" w:line="240" w:lineRule="auto"/>
        <w:rPr>
          <w:rFonts w:ascii="Arial" w:hAnsi="Arial" w:cs="Arial"/>
          <w:b/>
          <w:sz w:val="24"/>
          <w:szCs w:val="24"/>
        </w:rPr>
      </w:pPr>
      <w:r w:rsidRPr="005C68CD">
        <w:rPr>
          <w:rFonts w:ascii="Arial" w:hAnsi="Arial" w:cs="Arial"/>
          <w:sz w:val="24"/>
          <w:szCs w:val="24"/>
        </w:rPr>
        <w:t xml:space="preserve">Overall, since the start of the Deal period there have been </w:t>
      </w:r>
      <w:r w:rsidRPr="005C68CD">
        <w:rPr>
          <w:rFonts w:ascii="Arial" w:hAnsi="Arial" w:cs="Arial"/>
          <w:b/>
          <w:sz w:val="24"/>
          <w:szCs w:val="24"/>
        </w:rPr>
        <w:t>3048</w:t>
      </w:r>
      <w:r w:rsidRPr="005C68CD">
        <w:rPr>
          <w:rFonts w:ascii="Arial" w:hAnsi="Arial" w:cs="Arial"/>
          <w:sz w:val="24"/>
          <w:szCs w:val="24"/>
        </w:rPr>
        <w:t xml:space="preserve"> housing completions against a target of </w:t>
      </w:r>
      <w:r w:rsidRPr="005C68CD">
        <w:rPr>
          <w:rFonts w:ascii="Arial" w:hAnsi="Arial" w:cs="Arial"/>
          <w:b/>
          <w:sz w:val="24"/>
          <w:szCs w:val="24"/>
        </w:rPr>
        <w:t>2561.</w:t>
      </w:r>
      <w:r w:rsidRPr="005C68CD">
        <w:rPr>
          <w:rFonts w:ascii="Arial" w:hAnsi="Arial" w:cs="Arial"/>
          <w:sz w:val="24"/>
          <w:szCs w:val="24"/>
        </w:rPr>
        <w:t xml:space="preserve">  During the first six months of year 4 (2017/18) </w:t>
      </w:r>
      <w:r w:rsidRPr="005C68CD">
        <w:rPr>
          <w:rFonts w:ascii="Arial" w:hAnsi="Arial" w:cs="Arial"/>
          <w:b/>
          <w:sz w:val="24"/>
          <w:szCs w:val="24"/>
        </w:rPr>
        <w:t>434</w:t>
      </w:r>
      <w:r w:rsidRPr="005C68CD">
        <w:rPr>
          <w:rFonts w:ascii="Arial" w:hAnsi="Arial" w:cs="Arial"/>
          <w:sz w:val="24"/>
          <w:szCs w:val="24"/>
        </w:rPr>
        <w:t xml:space="preserve"> completions have been achieved slightly below a 6 month forecast of </w:t>
      </w:r>
      <w:r w:rsidRPr="005C68CD">
        <w:rPr>
          <w:rFonts w:ascii="Arial" w:hAnsi="Arial" w:cs="Arial"/>
          <w:b/>
          <w:sz w:val="24"/>
          <w:szCs w:val="24"/>
        </w:rPr>
        <w:t>503.</w:t>
      </w:r>
    </w:p>
    <w:p w:rsidR="003C118F" w:rsidRPr="005C68CD" w:rsidRDefault="003C118F" w:rsidP="003C118F">
      <w:pPr>
        <w:tabs>
          <w:tab w:val="left" w:pos="426"/>
        </w:tabs>
        <w:spacing w:after="0" w:line="240" w:lineRule="auto"/>
        <w:rPr>
          <w:rFonts w:ascii="Arial" w:hAnsi="Arial" w:cs="Arial"/>
          <w:sz w:val="24"/>
          <w:szCs w:val="24"/>
        </w:rPr>
      </w:pPr>
    </w:p>
    <w:p w:rsidR="00914890" w:rsidRDefault="00914890" w:rsidP="003C118F">
      <w:pPr>
        <w:spacing w:after="0" w:line="240" w:lineRule="auto"/>
        <w:rPr>
          <w:rFonts w:ascii="Arial" w:hAnsi="Arial" w:cs="Arial"/>
          <w:b/>
          <w:sz w:val="24"/>
          <w:szCs w:val="24"/>
        </w:rPr>
      </w:pPr>
      <w:r w:rsidRPr="005C68CD">
        <w:rPr>
          <w:rFonts w:ascii="Arial" w:hAnsi="Arial" w:cs="Arial"/>
          <w:b/>
          <w:sz w:val="24"/>
          <w:szCs w:val="24"/>
        </w:rPr>
        <w:t xml:space="preserve">Housing Units Submitted and </w:t>
      </w:r>
      <w:r>
        <w:rPr>
          <w:rFonts w:ascii="Arial" w:hAnsi="Arial" w:cs="Arial"/>
          <w:b/>
          <w:sz w:val="24"/>
          <w:szCs w:val="24"/>
        </w:rPr>
        <w:t>C</w:t>
      </w:r>
      <w:r w:rsidRPr="005C68CD">
        <w:rPr>
          <w:rFonts w:ascii="Arial" w:hAnsi="Arial" w:cs="Arial"/>
          <w:b/>
          <w:sz w:val="24"/>
          <w:szCs w:val="24"/>
        </w:rPr>
        <w:t>onsented for Planning</w:t>
      </w:r>
    </w:p>
    <w:p w:rsidR="003C118F" w:rsidRPr="005C68CD" w:rsidRDefault="003C118F" w:rsidP="003C118F">
      <w:pPr>
        <w:spacing w:after="0" w:line="240" w:lineRule="auto"/>
        <w:rPr>
          <w:rFonts w:ascii="Arial" w:hAnsi="Arial" w:cs="Arial"/>
          <w:b/>
          <w:sz w:val="24"/>
          <w:szCs w:val="24"/>
        </w:rPr>
      </w:pPr>
    </w:p>
    <w:p w:rsidR="00914890" w:rsidRDefault="00914890" w:rsidP="003C118F">
      <w:pPr>
        <w:spacing w:after="0" w:line="240" w:lineRule="auto"/>
        <w:rPr>
          <w:rFonts w:ascii="Arial" w:hAnsi="Arial" w:cs="Arial"/>
          <w:sz w:val="24"/>
          <w:szCs w:val="24"/>
        </w:rPr>
      </w:pPr>
      <w:r w:rsidRPr="005C68CD">
        <w:rPr>
          <w:rFonts w:ascii="Arial" w:hAnsi="Arial" w:cs="Arial"/>
          <w:sz w:val="24"/>
          <w:szCs w:val="24"/>
        </w:rPr>
        <w:t xml:space="preserve">Inclusive of year 0 (2013/14) a total of </w:t>
      </w:r>
      <w:r w:rsidRPr="005C68CD">
        <w:rPr>
          <w:rFonts w:ascii="Arial" w:hAnsi="Arial" w:cs="Arial"/>
          <w:b/>
          <w:sz w:val="24"/>
          <w:szCs w:val="24"/>
        </w:rPr>
        <w:t>11289</w:t>
      </w:r>
      <w:r w:rsidRPr="005C68CD">
        <w:rPr>
          <w:rFonts w:ascii="Arial" w:hAnsi="Arial" w:cs="Arial"/>
          <w:sz w:val="24"/>
          <w:szCs w:val="24"/>
        </w:rPr>
        <w:t xml:space="preserve"> housing units have been submitted for planning.  The total number of planning consents to date is </w:t>
      </w:r>
      <w:r w:rsidRPr="005C68CD">
        <w:rPr>
          <w:rFonts w:ascii="Arial" w:hAnsi="Arial" w:cs="Arial"/>
          <w:b/>
          <w:sz w:val="24"/>
          <w:szCs w:val="24"/>
        </w:rPr>
        <w:t>11582</w:t>
      </w:r>
      <w:r w:rsidRPr="005C68CD">
        <w:rPr>
          <w:rFonts w:ascii="Arial" w:hAnsi="Arial" w:cs="Arial"/>
          <w:sz w:val="24"/>
          <w:szCs w:val="24"/>
        </w:rPr>
        <w:t>.</w:t>
      </w:r>
    </w:p>
    <w:p w:rsidR="003C118F" w:rsidRPr="005C68CD" w:rsidRDefault="003C118F" w:rsidP="003C118F">
      <w:pPr>
        <w:spacing w:after="0" w:line="240" w:lineRule="auto"/>
        <w:rPr>
          <w:rFonts w:ascii="Arial" w:hAnsi="Arial" w:cs="Arial"/>
          <w:sz w:val="24"/>
          <w:szCs w:val="24"/>
        </w:rPr>
      </w:pPr>
    </w:p>
    <w:p w:rsidR="00914890" w:rsidRDefault="00914890" w:rsidP="003C118F">
      <w:pPr>
        <w:spacing w:after="0" w:line="240" w:lineRule="auto"/>
        <w:rPr>
          <w:rFonts w:ascii="Arial" w:hAnsi="Arial" w:cs="Arial"/>
          <w:sz w:val="24"/>
          <w:szCs w:val="24"/>
        </w:rPr>
      </w:pPr>
      <w:r w:rsidRPr="005C68CD">
        <w:rPr>
          <w:rFonts w:ascii="Arial" w:hAnsi="Arial" w:cs="Arial"/>
          <w:sz w:val="24"/>
          <w:szCs w:val="24"/>
        </w:rPr>
        <w:t>It's worth noting that there</w:t>
      </w:r>
      <w:r w:rsidRPr="005C68CD">
        <w:rPr>
          <w:rFonts w:ascii="Verdana" w:hAnsi="Verdana"/>
          <w:sz w:val="20"/>
          <w:szCs w:val="20"/>
        </w:rPr>
        <w:t xml:space="preserve"> </w:t>
      </w:r>
      <w:r w:rsidRPr="005C68CD">
        <w:rPr>
          <w:rFonts w:ascii="Arial" w:hAnsi="Arial" w:cs="Arial"/>
          <w:sz w:val="24"/>
          <w:szCs w:val="24"/>
        </w:rPr>
        <w:t>is a small historic surplus of planning consents over submissions for planning permission within the City Deal period. This is a result of submissions on City Deal sites prior to the start of the City Deal programme that were determined after commencement of City Deal.</w:t>
      </w:r>
    </w:p>
    <w:p w:rsidR="003C118F" w:rsidRPr="005C68CD" w:rsidRDefault="003C118F" w:rsidP="003C118F">
      <w:pPr>
        <w:spacing w:after="0" w:line="240" w:lineRule="auto"/>
        <w:rPr>
          <w:rFonts w:ascii="Arial" w:hAnsi="Arial" w:cs="Arial"/>
          <w:sz w:val="24"/>
          <w:szCs w:val="24"/>
        </w:rPr>
      </w:pPr>
    </w:p>
    <w:p w:rsidR="00914890" w:rsidRDefault="00914890" w:rsidP="003C118F">
      <w:pPr>
        <w:spacing w:after="0" w:line="240" w:lineRule="auto"/>
        <w:rPr>
          <w:rFonts w:ascii="Arial" w:hAnsi="Arial" w:cs="Arial"/>
          <w:sz w:val="24"/>
          <w:szCs w:val="24"/>
        </w:rPr>
      </w:pPr>
      <w:r>
        <w:rPr>
          <w:rFonts w:ascii="Arial" w:hAnsi="Arial" w:cs="Arial"/>
          <w:sz w:val="24"/>
          <w:szCs w:val="24"/>
        </w:rPr>
        <w:t xml:space="preserve">Planning targets for Preston in particular in the last six months were particularly low as a result of a significant number of units having been consented early on in the City Deal.  In this monitoring period only a very small number were predicted to be submitted for planning and likewise consented.   </w:t>
      </w:r>
      <w:r w:rsidRPr="005C68CD">
        <w:rPr>
          <w:rFonts w:ascii="Arial" w:hAnsi="Arial" w:cs="Arial"/>
          <w:sz w:val="24"/>
          <w:szCs w:val="24"/>
        </w:rPr>
        <w:t xml:space="preserve">Both planning submissions and </w:t>
      </w:r>
      <w:r w:rsidRPr="005C68CD">
        <w:rPr>
          <w:rFonts w:ascii="Arial" w:hAnsi="Arial" w:cs="Arial"/>
          <w:sz w:val="24"/>
          <w:szCs w:val="24"/>
        </w:rPr>
        <w:lastRenderedPageBreak/>
        <w:t>consents have exceeded targets for this period mainly as a result of significant</w:t>
      </w:r>
      <w:r>
        <w:rPr>
          <w:rFonts w:ascii="Arial" w:hAnsi="Arial" w:cs="Arial"/>
          <w:sz w:val="24"/>
          <w:szCs w:val="24"/>
        </w:rPr>
        <w:t xml:space="preserve"> new applications in Preston</w:t>
      </w:r>
      <w:r w:rsidRPr="005C68CD">
        <w:rPr>
          <w:rFonts w:ascii="Arial" w:hAnsi="Arial" w:cs="Arial"/>
          <w:sz w:val="24"/>
          <w:szCs w:val="24"/>
        </w:rPr>
        <w:t xml:space="preserve"> </w:t>
      </w:r>
      <w:r>
        <w:rPr>
          <w:rFonts w:ascii="Arial" w:hAnsi="Arial" w:cs="Arial"/>
          <w:sz w:val="24"/>
          <w:szCs w:val="24"/>
        </w:rPr>
        <w:t xml:space="preserve">(e.g. Land South of Tom Benson Way and land north of </w:t>
      </w:r>
      <w:proofErr w:type="spellStart"/>
      <w:r>
        <w:rPr>
          <w:rFonts w:ascii="Arial" w:hAnsi="Arial" w:cs="Arial"/>
          <w:sz w:val="24"/>
          <w:szCs w:val="24"/>
        </w:rPr>
        <w:t>Durton</w:t>
      </w:r>
      <w:proofErr w:type="spellEnd"/>
      <w:r>
        <w:rPr>
          <w:rFonts w:ascii="Arial" w:hAnsi="Arial" w:cs="Arial"/>
          <w:sz w:val="24"/>
          <w:szCs w:val="24"/>
        </w:rPr>
        <w:t xml:space="preserve"> Lane).</w:t>
      </w:r>
    </w:p>
    <w:p w:rsidR="003C118F" w:rsidRPr="005C68CD" w:rsidRDefault="003C118F" w:rsidP="003C118F">
      <w:pPr>
        <w:spacing w:after="0" w:line="240" w:lineRule="auto"/>
        <w:rPr>
          <w:rFonts w:ascii="Arial" w:hAnsi="Arial" w:cs="Arial"/>
          <w:sz w:val="24"/>
          <w:szCs w:val="24"/>
        </w:rPr>
      </w:pPr>
    </w:p>
    <w:p w:rsidR="00914890" w:rsidRDefault="00914890" w:rsidP="003C118F">
      <w:pPr>
        <w:spacing w:after="0" w:line="240" w:lineRule="auto"/>
        <w:rPr>
          <w:rFonts w:ascii="Arial" w:hAnsi="Arial" w:cs="Arial"/>
          <w:sz w:val="24"/>
          <w:szCs w:val="24"/>
        </w:rPr>
      </w:pPr>
      <w:r w:rsidRPr="005C68CD">
        <w:rPr>
          <w:rFonts w:ascii="Arial" w:hAnsi="Arial" w:cs="Arial"/>
          <w:sz w:val="24"/>
          <w:szCs w:val="24"/>
        </w:rPr>
        <w:t xml:space="preserve">Sites where construction is actively taking place continues to grow with </w:t>
      </w:r>
      <w:r w:rsidRPr="005C68CD">
        <w:rPr>
          <w:rFonts w:ascii="Arial" w:hAnsi="Arial" w:cs="Arial"/>
          <w:b/>
          <w:sz w:val="24"/>
          <w:szCs w:val="24"/>
        </w:rPr>
        <w:t>32</w:t>
      </w:r>
      <w:r w:rsidRPr="005C68CD">
        <w:rPr>
          <w:rFonts w:ascii="Arial" w:hAnsi="Arial" w:cs="Arial"/>
          <w:sz w:val="24"/>
          <w:szCs w:val="24"/>
        </w:rPr>
        <w:t xml:space="preserve"> sites currently active.  Some of the city deal sites have commenced construction earlier than originally anticipated with a number of new sites coming forward.</w:t>
      </w:r>
    </w:p>
    <w:p w:rsidR="003C118F" w:rsidRPr="005C68CD" w:rsidRDefault="003C118F" w:rsidP="003C118F">
      <w:pPr>
        <w:spacing w:after="0" w:line="240" w:lineRule="auto"/>
        <w:rPr>
          <w:rFonts w:ascii="Arial" w:hAnsi="Arial" w:cs="Arial"/>
          <w:sz w:val="24"/>
          <w:szCs w:val="24"/>
        </w:rPr>
      </w:pPr>
    </w:p>
    <w:p w:rsidR="00914890" w:rsidRDefault="00914890" w:rsidP="003C118F">
      <w:pPr>
        <w:spacing w:after="0" w:line="240" w:lineRule="auto"/>
        <w:rPr>
          <w:rFonts w:ascii="Arial" w:hAnsi="Arial" w:cs="Arial"/>
          <w:sz w:val="24"/>
          <w:szCs w:val="24"/>
        </w:rPr>
      </w:pPr>
      <w:r w:rsidRPr="005C68CD">
        <w:rPr>
          <w:rFonts w:ascii="Arial" w:hAnsi="Arial" w:cs="Arial"/>
          <w:sz w:val="24"/>
          <w:szCs w:val="24"/>
        </w:rPr>
        <w:t>A breakdown of the housing targets and outputs is set out in table 1 below:</w:t>
      </w:r>
    </w:p>
    <w:p w:rsidR="003C118F" w:rsidRPr="005C68CD" w:rsidRDefault="003C118F" w:rsidP="003C118F">
      <w:pPr>
        <w:spacing w:after="0" w:line="240" w:lineRule="auto"/>
        <w:rPr>
          <w:rFonts w:ascii="Arial" w:hAnsi="Arial" w:cs="Arial"/>
          <w:sz w:val="24"/>
          <w:szCs w:val="24"/>
        </w:rPr>
      </w:pPr>
    </w:p>
    <w:p w:rsidR="00914890" w:rsidRPr="005C68CD" w:rsidRDefault="00914890" w:rsidP="003C118F">
      <w:pPr>
        <w:spacing w:after="0" w:line="240" w:lineRule="auto"/>
        <w:ind w:left="284"/>
        <w:rPr>
          <w:rFonts w:ascii="Arial" w:hAnsi="Arial" w:cs="Arial"/>
          <w:b/>
          <w:sz w:val="24"/>
          <w:szCs w:val="24"/>
          <w:u w:val="single"/>
        </w:rPr>
      </w:pPr>
      <w:r w:rsidRPr="005C68CD">
        <w:rPr>
          <w:rFonts w:ascii="Arial" w:hAnsi="Arial" w:cs="Arial"/>
          <w:b/>
          <w:sz w:val="24"/>
          <w:szCs w:val="24"/>
          <w:u w:val="single"/>
        </w:rPr>
        <w:t xml:space="preserve">Table 1 Housing – performance measures </w:t>
      </w:r>
    </w:p>
    <w:p w:rsidR="00914890" w:rsidRPr="005C68CD" w:rsidRDefault="00914890" w:rsidP="003C118F">
      <w:pPr>
        <w:spacing w:after="0" w:line="240" w:lineRule="auto"/>
        <w:ind w:left="284"/>
        <w:rPr>
          <w:rFonts w:ascii="Arial" w:hAnsi="Arial" w:cs="Arial"/>
          <w:b/>
          <w:sz w:val="16"/>
          <w:szCs w:val="16"/>
          <w:u w:val="single"/>
        </w:rPr>
      </w:pPr>
    </w:p>
    <w:tbl>
      <w:tblPr>
        <w:tblStyle w:val="TableGrid1"/>
        <w:tblW w:w="4847" w:type="pct"/>
        <w:tblLayout w:type="fixed"/>
        <w:tblLook w:val="04A0" w:firstRow="1" w:lastRow="0" w:firstColumn="1" w:lastColumn="0" w:noHBand="0" w:noVBand="1"/>
      </w:tblPr>
      <w:tblGrid>
        <w:gridCol w:w="1910"/>
        <w:gridCol w:w="1849"/>
        <w:gridCol w:w="1622"/>
        <w:gridCol w:w="1276"/>
        <w:gridCol w:w="2083"/>
      </w:tblGrid>
      <w:tr w:rsidR="00914890" w:rsidRPr="005C68CD" w:rsidTr="00914890">
        <w:trPr>
          <w:tblHeader/>
        </w:trPr>
        <w:tc>
          <w:tcPr>
            <w:tcW w:w="1910" w:type="dxa"/>
          </w:tcPr>
          <w:p w:rsidR="00914890" w:rsidRPr="005C68CD" w:rsidRDefault="00914890" w:rsidP="003C118F">
            <w:pPr>
              <w:rPr>
                <w:rFonts w:ascii="Arial" w:hAnsi="Arial" w:cs="Arial"/>
                <w:b/>
                <w:sz w:val="24"/>
                <w:szCs w:val="24"/>
              </w:rPr>
            </w:pPr>
            <w:r w:rsidRPr="005C68CD">
              <w:rPr>
                <w:rFonts w:ascii="Arial" w:hAnsi="Arial" w:cs="Arial"/>
                <w:b/>
                <w:sz w:val="24"/>
                <w:szCs w:val="24"/>
              </w:rPr>
              <w:t>Measure</w:t>
            </w:r>
          </w:p>
        </w:tc>
        <w:tc>
          <w:tcPr>
            <w:tcW w:w="1849" w:type="dxa"/>
          </w:tcPr>
          <w:p w:rsidR="00914890" w:rsidRPr="005C68CD" w:rsidRDefault="00914890" w:rsidP="003C118F">
            <w:pPr>
              <w:jc w:val="center"/>
              <w:rPr>
                <w:rFonts w:ascii="Arial" w:hAnsi="Arial" w:cs="Arial"/>
                <w:b/>
                <w:sz w:val="24"/>
                <w:szCs w:val="24"/>
              </w:rPr>
            </w:pPr>
            <w:r w:rsidRPr="005C68CD">
              <w:rPr>
                <w:rFonts w:ascii="Arial" w:hAnsi="Arial" w:cs="Arial"/>
                <w:b/>
                <w:sz w:val="24"/>
                <w:szCs w:val="24"/>
              </w:rPr>
              <w:t>Six month - target</w:t>
            </w:r>
          </w:p>
          <w:p w:rsidR="00914890" w:rsidRPr="005C68CD" w:rsidRDefault="00914890" w:rsidP="003C118F">
            <w:pPr>
              <w:jc w:val="center"/>
              <w:rPr>
                <w:rFonts w:ascii="Arial" w:hAnsi="Arial" w:cs="Arial"/>
                <w:b/>
                <w:sz w:val="24"/>
                <w:szCs w:val="24"/>
              </w:rPr>
            </w:pPr>
            <w:r w:rsidRPr="005C68CD">
              <w:rPr>
                <w:rFonts w:ascii="Arial" w:hAnsi="Arial" w:cs="Arial"/>
                <w:b/>
                <w:sz w:val="24"/>
                <w:szCs w:val="24"/>
              </w:rPr>
              <w:t>17/18</w:t>
            </w:r>
          </w:p>
          <w:p w:rsidR="00914890" w:rsidRPr="005C68CD" w:rsidRDefault="00914890" w:rsidP="003C118F">
            <w:pPr>
              <w:jc w:val="center"/>
              <w:rPr>
                <w:rFonts w:ascii="Arial" w:hAnsi="Arial" w:cs="Arial"/>
                <w:b/>
                <w:sz w:val="24"/>
                <w:szCs w:val="24"/>
              </w:rPr>
            </w:pPr>
          </w:p>
        </w:tc>
        <w:tc>
          <w:tcPr>
            <w:tcW w:w="1622" w:type="dxa"/>
          </w:tcPr>
          <w:p w:rsidR="00914890" w:rsidRPr="005C68CD" w:rsidRDefault="00914890" w:rsidP="003C118F">
            <w:pPr>
              <w:jc w:val="center"/>
              <w:rPr>
                <w:rFonts w:ascii="Arial" w:hAnsi="Arial" w:cs="Arial"/>
                <w:b/>
                <w:sz w:val="24"/>
                <w:szCs w:val="24"/>
              </w:rPr>
            </w:pPr>
            <w:r w:rsidRPr="005C68CD">
              <w:rPr>
                <w:rFonts w:ascii="Arial" w:hAnsi="Arial" w:cs="Arial"/>
                <w:b/>
                <w:sz w:val="24"/>
                <w:szCs w:val="24"/>
              </w:rPr>
              <w:t>Six month actual</w:t>
            </w:r>
          </w:p>
        </w:tc>
        <w:tc>
          <w:tcPr>
            <w:tcW w:w="1276" w:type="dxa"/>
          </w:tcPr>
          <w:p w:rsidR="00914890" w:rsidRPr="005C68CD" w:rsidRDefault="00914890" w:rsidP="003C118F">
            <w:pPr>
              <w:jc w:val="center"/>
              <w:rPr>
                <w:rFonts w:ascii="Arial" w:hAnsi="Arial" w:cs="Arial"/>
                <w:b/>
                <w:sz w:val="24"/>
                <w:szCs w:val="24"/>
              </w:rPr>
            </w:pPr>
            <w:r w:rsidRPr="005C68CD">
              <w:rPr>
                <w:rFonts w:ascii="Arial" w:hAnsi="Arial" w:cs="Arial"/>
                <w:b/>
                <w:sz w:val="24"/>
                <w:szCs w:val="24"/>
              </w:rPr>
              <w:t>Variance (against 6 month target)</w:t>
            </w:r>
          </w:p>
        </w:tc>
        <w:tc>
          <w:tcPr>
            <w:tcW w:w="2083" w:type="dxa"/>
          </w:tcPr>
          <w:p w:rsidR="00914890" w:rsidRPr="005C68CD" w:rsidRDefault="00914890" w:rsidP="003C118F">
            <w:pPr>
              <w:jc w:val="center"/>
              <w:rPr>
                <w:rFonts w:ascii="Arial" w:hAnsi="Arial" w:cs="Arial"/>
                <w:b/>
                <w:sz w:val="24"/>
                <w:szCs w:val="24"/>
              </w:rPr>
            </w:pPr>
            <w:r w:rsidRPr="005C68CD">
              <w:rPr>
                <w:rFonts w:ascii="Arial" w:hAnsi="Arial" w:cs="Arial"/>
                <w:b/>
                <w:sz w:val="24"/>
                <w:szCs w:val="24"/>
              </w:rPr>
              <w:t xml:space="preserve">  All Years Cumulative Variance </w:t>
            </w:r>
          </w:p>
          <w:p w:rsidR="00914890" w:rsidRPr="005C68CD" w:rsidRDefault="00914890" w:rsidP="003C118F">
            <w:pPr>
              <w:jc w:val="center"/>
              <w:rPr>
                <w:rFonts w:ascii="Arial" w:hAnsi="Arial" w:cs="Arial"/>
                <w:b/>
                <w:sz w:val="24"/>
                <w:szCs w:val="24"/>
              </w:rPr>
            </w:pPr>
            <w:r w:rsidRPr="005C68CD">
              <w:rPr>
                <w:rFonts w:ascii="Arial" w:hAnsi="Arial" w:cs="Arial"/>
                <w:b/>
                <w:sz w:val="24"/>
                <w:szCs w:val="24"/>
              </w:rPr>
              <w:t xml:space="preserve"> </w:t>
            </w:r>
          </w:p>
        </w:tc>
      </w:tr>
      <w:tr w:rsidR="00914890" w:rsidRPr="005C68CD" w:rsidTr="00914890">
        <w:tc>
          <w:tcPr>
            <w:tcW w:w="1910" w:type="dxa"/>
          </w:tcPr>
          <w:p w:rsidR="00914890" w:rsidRPr="005C68CD" w:rsidRDefault="00914890" w:rsidP="003C118F">
            <w:pPr>
              <w:rPr>
                <w:rFonts w:ascii="Arial" w:hAnsi="Arial" w:cs="Arial"/>
                <w:sz w:val="24"/>
                <w:szCs w:val="24"/>
              </w:rPr>
            </w:pPr>
            <w:r w:rsidRPr="005C68CD">
              <w:rPr>
                <w:rFonts w:ascii="Arial" w:hAnsi="Arial" w:cs="Arial"/>
                <w:sz w:val="24"/>
                <w:szCs w:val="24"/>
              </w:rPr>
              <w:t xml:space="preserve">Total number of Housing units completed </w:t>
            </w:r>
          </w:p>
          <w:p w:rsidR="00914890" w:rsidRPr="005C68CD" w:rsidRDefault="00914890" w:rsidP="003C118F">
            <w:pPr>
              <w:rPr>
                <w:rFonts w:ascii="Arial" w:hAnsi="Arial" w:cs="Arial"/>
                <w:sz w:val="24"/>
                <w:szCs w:val="24"/>
              </w:rPr>
            </w:pPr>
          </w:p>
        </w:tc>
        <w:tc>
          <w:tcPr>
            <w:tcW w:w="1849" w:type="dxa"/>
          </w:tcPr>
          <w:p w:rsidR="00914890" w:rsidRPr="005C68CD" w:rsidRDefault="00914890" w:rsidP="003C118F">
            <w:pPr>
              <w:tabs>
                <w:tab w:val="left" w:pos="885"/>
              </w:tabs>
              <w:jc w:val="center"/>
              <w:rPr>
                <w:rFonts w:ascii="Arial" w:hAnsi="Arial" w:cs="Arial"/>
                <w:sz w:val="24"/>
                <w:szCs w:val="24"/>
              </w:rPr>
            </w:pPr>
            <w:r w:rsidRPr="005C68CD">
              <w:rPr>
                <w:rFonts w:ascii="Arial" w:hAnsi="Arial" w:cs="Arial"/>
                <w:sz w:val="24"/>
                <w:szCs w:val="24"/>
              </w:rPr>
              <w:t>503</w:t>
            </w:r>
          </w:p>
        </w:tc>
        <w:tc>
          <w:tcPr>
            <w:tcW w:w="1622" w:type="dxa"/>
          </w:tcPr>
          <w:p w:rsidR="00914890" w:rsidRPr="005C68CD" w:rsidRDefault="00914890" w:rsidP="003C118F">
            <w:pPr>
              <w:tabs>
                <w:tab w:val="left" w:pos="885"/>
              </w:tabs>
              <w:jc w:val="center"/>
              <w:rPr>
                <w:rFonts w:ascii="Arial" w:hAnsi="Arial" w:cs="Arial"/>
                <w:sz w:val="24"/>
                <w:szCs w:val="24"/>
              </w:rPr>
            </w:pPr>
            <w:r w:rsidRPr="005C68CD">
              <w:rPr>
                <w:rFonts w:ascii="Arial" w:hAnsi="Arial" w:cs="Arial"/>
                <w:sz w:val="24"/>
                <w:szCs w:val="24"/>
              </w:rPr>
              <w:t>434</w:t>
            </w:r>
          </w:p>
        </w:tc>
        <w:tc>
          <w:tcPr>
            <w:tcW w:w="1276" w:type="dxa"/>
          </w:tcPr>
          <w:p w:rsidR="00914890" w:rsidRPr="005C68CD" w:rsidRDefault="00914890" w:rsidP="003C118F">
            <w:pPr>
              <w:tabs>
                <w:tab w:val="left" w:pos="885"/>
              </w:tabs>
              <w:jc w:val="center"/>
              <w:rPr>
                <w:rFonts w:ascii="Arial" w:hAnsi="Arial" w:cs="Arial"/>
                <w:sz w:val="24"/>
                <w:szCs w:val="24"/>
              </w:rPr>
            </w:pPr>
            <w:r w:rsidRPr="005C68CD">
              <w:rPr>
                <w:rFonts w:ascii="Arial" w:hAnsi="Arial" w:cs="Arial"/>
                <w:sz w:val="24"/>
                <w:szCs w:val="24"/>
              </w:rPr>
              <w:t>-69</w:t>
            </w:r>
          </w:p>
        </w:tc>
        <w:tc>
          <w:tcPr>
            <w:tcW w:w="2083" w:type="dxa"/>
          </w:tcPr>
          <w:p w:rsidR="00914890" w:rsidRPr="005C68CD" w:rsidRDefault="00914890" w:rsidP="003C118F">
            <w:pPr>
              <w:tabs>
                <w:tab w:val="left" w:pos="885"/>
              </w:tabs>
              <w:rPr>
                <w:rFonts w:ascii="Arial" w:hAnsi="Arial" w:cs="Arial"/>
                <w:sz w:val="24"/>
                <w:szCs w:val="24"/>
              </w:rPr>
            </w:pPr>
            <w:r w:rsidRPr="005C68CD">
              <w:rPr>
                <w:rFonts w:ascii="Arial" w:hAnsi="Arial" w:cs="Arial"/>
                <w:sz w:val="24"/>
                <w:szCs w:val="24"/>
              </w:rPr>
              <w:t xml:space="preserve">         +487*</w:t>
            </w:r>
          </w:p>
          <w:p w:rsidR="00914890" w:rsidRPr="005C68CD" w:rsidRDefault="00914890" w:rsidP="003C118F">
            <w:pPr>
              <w:tabs>
                <w:tab w:val="left" w:pos="885"/>
              </w:tabs>
              <w:rPr>
                <w:rFonts w:ascii="Arial" w:hAnsi="Arial" w:cs="Arial"/>
                <w:sz w:val="24"/>
                <w:szCs w:val="24"/>
              </w:rPr>
            </w:pPr>
          </w:p>
          <w:p w:rsidR="00914890" w:rsidRPr="005C68CD" w:rsidRDefault="00914890" w:rsidP="003C118F">
            <w:pPr>
              <w:tabs>
                <w:tab w:val="left" w:pos="885"/>
              </w:tabs>
              <w:rPr>
                <w:rFonts w:ascii="Arial" w:hAnsi="Arial" w:cs="Arial"/>
                <w:sz w:val="24"/>
                <w:szCs w:val="24"/>
              </w:rPr>
            </w:pPr>
          </w:p>
        </w:tc>
      </w:tr>
      <w:tr w:rsidR="00914890" w:rsidRPr="005C68CD" w:rsidTr="00914890">
        <w:tc>
          <w:tcPr>
            <w:tcW w:w="1910" w:type="dxa"/>
          </w:tcPr>
          <w:p w:rsidR="00914890" w:rsidRPr="005C68CD" w:rsidRDefault="00914890" w:rsidP="003C118F">
            <w:pPr>
              <w:rPr>
                <w:rFonts w:ascii="Arial" w:hAnsi="Arial" w:cs="Arial"/>
                <w:sz w:val="24"/>
                <w:szCs w:val="24"/>
              </w:rPr>
            </w:pPr>
            <w:r w:rsidRPr="005C68CD">
              <w:rPr>
                <w:rFonts w:ascii="Arial" w:hAnsi="Arial" w:cs="Arial"/>
                <w:sz w:val="24"/>
                <w:szCs w:val="24"/>
              </w:rPr>
              <w:t>Total number of housing units submitted for planning **</w:t>
            </w:r>
          </w:p>
        </w:tc>
        <w:tc>
          <w:tcPr>
            <w:tcW w:w="1849" w:type="dxa"/>
          </w:tcPr>
          <w:p w:rsidR="00914890" w:rsidRPr="005C68CD" w:rsidRDefault="00914890" w:rsidP="003C118F">
            <w:pPr>
              <w:tabs>
                <w:tab w:val="left" w:pos="885"/>
              </w:tabs>
              <w:jc w:val="center"/>
              <w:rPr>
                <w:rFonts w:ascii="Arial" w:hAnsi="Arial" w:cs="Arial"/>
                <w:sz w:val="24"/>
                <w:szCs w:val="24"/>
              </w:rPr>
            </w:pPr>
            <w:r w:rsidRPr="005C68CD">
              <w:rPr>
                <w:rFonts w:ascii="Arial" w:hAnsi="Arial" w:cs="Arial"/>
                <w:sz w:val="24"/>
                <w:szCs w:val="24"/>
              </w:rPr>
              <w:t>390</w:t>
            </w:r>
          </w:p>
          <w:p w:rsidR="00914890" w:rsidRPr="005C68CD" w:rsidRDefault="00914890" w:rsidP="003C118F">
            <w:pPr>
              <w:tabs>
                <w:tab w:val="left" w:pos="885"/>
              </w:tabs>
              <w:jc w:val="center"/>
              <w:rPr>
                <w:rFonts w:ascii="Arial" w:hAnsi="Arial" w:cs="Arial"/>
                <w:sz w:val="24"/>
                <w:szCs w:val="24"/>
              </w:rPr>
            </w:pPr>
          </w:p>
          <w:p w:rsidR="00914890" w:rsidRPr="005C68CD" w:rsidRDefault="00914890" w:rsidP="003C118F">
            <w:pPr>
              <w:tabs>
                <w:tab w:val="left" w:pos="885"/>
              </w:tabs>
              <w:jc w:val="center"/>
              <w:rPr>
                <w:rFonts w:ascii="Arial" w:hAnsi="Arial" w:cs="Arial"/>
                <w:sz w:val="24"/>
                <w:szCs w:val="24"/>
              </w:rPr>
            </w:pPr>
          </w:p>
        </w:tc>
        <w:tc>
          <w:tcPr>
            <w:tcW w:w="1622" w:type="dxa"/>
          </w:tcPr>
          <w:p w:rsidR="00914890" w:rsidRPr="005C68CD" w:rsidRDefault="00914890" w:rsidP="003C118F">
            <w:pPr>
              <w:tabs>
                <w:tab w:val="left" w:pos="885"/>
              </w:tabs>
              <w:jc w:val="center"/>
              <w:rPr>
                <w:rFonts w:ascii="Arial" w:hAnsi="Arial" w:cs="Arial"/>
                <w:sz w:val="24"/>
                <w:szCs w:val="24"/>
              </w:rPr>
            </w:pPr>
            <w:r w:rsidRPr="005C68CD">
              <w:rPr>
                <w:rFonts w:ascii="Arial" w:hAnsi="Arial" w:cs="Arial"/>
                <w:sz w:val="24"/>
                <w:szCs w:val="24"/>
              </w:rPr>
              <w:t>1115</w:t>
            </w:r>
          </w:p>
          <w:p w:rsidR="00914890" w:rsidRPr="005C68CD" w:rsidRDefault="00914890" w:rsidP="003C118F">
            <w:pPr>
              <w:tabs>
                <w:tab w:val="left" w:pos="885"/>
              </w:tabs>
              <w:jc w:val="center"/>
              <w:rPr>
                <w:rFonts w:ascii="Arial" w:hAnsi="Arial" w:cs="Arial"/>
                <w:sz w:val="24"/>
                <w:szCs w:val="24"/>
              </w:rPr>
            </w:pPr>
          </w:p>
          <w:p w:rsidR="00914890" w:rsidRPr="005C68CD" w:rsidRDefault="00914890" w:rsidP="003C118F">
            <w:pPr>
              <w:tabs>
                <w:tab w:val="left" w:pos="885"/>
              </w:tabs>
              <w:jc w:val="center"/>
              <w:rPr>
                <w:rFonts w:ascii="Arial" w:hAnsi="Arial" w:cs="Arial"/>
                <w:sz w:val="24"/>
                <w:szCs w:val="24"/>
              </w:rPr>
            </w:pPr>
          </w:p>
        </w:tc>
        <w:tc>
          <w:tcPr>
            <w:tcW w:w="1276" w:type="dxa"/>
          </w:tcPr>
          <w:p w:rsidR="00914890" w:rsidRPr="005C68CD" w:rsidRDefault="00914890" w:rsidP="003C118F">
            <w:pPr>
              <w:tabs>
                <w:tab w:val="left" w:pos="885"/>
              </w:tabs>
              <w:jc w:val="center"/>
              <w:rPr>
                <w:rFonts w:ascii="Arial" w:hAnsi="Arial" w:cs="Arial"/>
                <w:sz w:val="24"/>
                <w:szCs w:val="24"/>
              </w:rPr>
            </w:pPr>
            <w:r w:rsidRPr="005C68CD">
              <w:rPr>
                <w:rFonts w:ascii="Arial" w:hAnsi="Arial" w:cs="Arial"/>
                <w:sz w:val="24"/>
                <w:szCs w:val="24"/>
              </w:rPr>
              <w:t>+725</w:t>
            </w:r>
          </w:p>
        </w:tc>
        <w:tc>
          <w:tcPr>
            <w:tcW w:w="2083" w:type="dxa"/>
          </w:tcPr>
          <w:p w:rsidR="00914890" w:rsidRPr="005C68CD" w:rsidRDefault="00914890" w:rsidP="003C118F">
            <w:pPr>
              <w:tabs>
                <w:tab w:val="left" w:pos="885"/>
              </w:tabs>
              <w:jc w:val="center"/>
              <w:rPr>
                <w:rFonts w:ascii="Arial" w:hAnsi="Arial" w:cs="Arial"/>
                <w:sz w:val="24"/>
                <w:szCs w:val="24"/>
              </w:rPr>
            </w:pPr>
            <w:r w:rsidRPr="005C68CD">
              <w:rPr>
                <w:rFonts w:ascii="Arial" w:hAnsi="Arial" w:cs="Arial"/>
                <w:sz w:val="24"/>
                <w:szCs w:val="24"/>
              </w:rPr>
              <w:t>-554</w:t>
            </w:r>
          </w:p>
        </w:tc>
      </w:tr>
      <w:tr w:rsidR="00914890" w:rsidRPr="005C68CD" w:rsidTr="00914890">
        <w:tc>
          <w:tcPr>
            <w:tcW w:w="1910" w:type="dxa"/>
          </w:tcPr>
          <w:p w:rsidR="00914890" w:rsidRPr="005C68CD" w:rsidRDefault="00914890" w:rsidP="003C118F">
            <w:pPr>
              <w:rPr>
                <w:rFonts w:ascii="Arial" w:hAnsi="Arial" w:cs="Arial"/>
                <w:sz w:val="24"/>
                <w:szCs w:val="24"/>
              </w:rPr>
            </w:pPr>
            <w:r w:rsidRPr="005C68CD">
              <w:rPr>
                <w:rFonts w:ascii="Arial" w:hAnsi="Arial" w:cs="Arial"/>
                <w:sz w:val="24"/>
                <w:szCs w:val="24"/>
              </w:rPr>
              <w:t>Total number of Housing units consented for planning *</w:t>
            </w:r>
          </w:p>
        </w:tc>
        <w:tc>
          <w:tcPr>
            <w:tcW w:w="1849" w:type="dxa"/>
          </w:tcPr>
          <w:p w:rsidR="00914890" w:rsidRPr="005C68CD" w:rsidRDefault="00914890" w:rsidP="003C118F">
            <w:pPr>
              <w:jc w:val="center"/>
              <w:rPr>
                <w:rFonts w:ascii="Arial" w:hAnsi="Arial" w:cs="Arial"/>
                <w:sz w:val="24"/>
                <w:szCs w:val="24"/>
              </w:rPr>
            </w:pPr>
            <w:r w:rsidRPr="005C68CD">
              <w:rPr>
                <w:rFonts w:ascii="Arial" w:hAnsi="Arial" w:cs="Arial"/>
                <w:sz w:val="24"/>
                <w:szCs w:val="24"/>
              </w:rPr>
              <w:t xml:space="preserve">400 </w:t>
            </w:r>
          </w:p>
          <w:p w:rsidR="00914890" w:rsidRPr="005C68CD" w:rsidRDefault="00914890" w:rsidP="003C118F">
            <w:pPr>
              <w:jc w:val="center"/>
              <w:rPr>
                <w:rFonts w:ascii="Arial" w:hAnsi="Arial" w:cs="Arial"/>
                <w:sz w:val="24"/>
                <w:szCs w:val="24"/>
              </w:rPr>
            </w:pPr>
          </w:p>
          <w:p w:rsidR="00914890" w:rsidRPr="005C68CD" w:rsidRDefault="00914890" w:rsidP="003C118F">
            <w:pPr>
              <w:jc w:val="center"/>
              <w:rPr>
                <w:rFonts w:ascii="Arial" w:hAnsi="Arial" w:cs="Arial"/>
                <w:sz w:val="24"/>
                <w:szCs w:val="24"/>
              </w:rPr>
            </w:pPr>
          </w:p>
        </w:tc>
        <w:tc>
          <w:tcPr>
            <w:tcW w:w="1622" w:type="dxa"/>
          </w:tcPr>
          <w:p w:rsidR="00914890" w:rsidRPr="005C68CD" w:rsidRDefault="00914890" w:rsidP="003C118F">
            <w:pPr>
              <w:jc w:val="center"/>
              <w:rPr>
                <w:rFonts w:ascii="Arial" w:hAnsi="Arial" w:cs="Arial"/>
                <w:sz w:val="24"/>
                <w:szCs w:val="24"/>
              </w:rPr>
            </w:pPr>
            <w:r w:rsidRPr="005C68CD">
              <w:rPr>
                <w:rFonts w:ascii="Arial" w:hAnsi="Arial" w:cs="Arial"/>
                <w:sz w:val="24"/>
                <w:szCs w:val="24"/>
              </w:rPr>
              <w:t xml:space="preserve">1147 </w:t>
            </w:r>
          </w:p>
          <w:p w:rsidR="00914890" w:rsidRPr="005C68CD" w:rsidRDefault="00914890" w:rsidP="003C118F">
            <w:pPr>
              <w:jc w:val="center"/>
              <w:rPr>
                <w:rFonts w:ascii="Arial" w:hAnsi="Arial" w:cs="Arial"/>
                <w:sz w:val="24"/>
                <w:szCs w:val="24"/>
              </w:rPr>
            </w:pPr>
          </w:p>
          <w:p w:rsidR="00914890" w:rsidRPr="005C68CD" w:rsidRDefault="00914890" w:rsidP="003C118F">
            <w:pPr>
              <w:jc w:val="center"/>
              <w:rPr>
                <w:rFonts w:ascii="Arial" w:hAnsi="Arial" w:cs="Arial"/>
                <w:sz w:val="24"/>
                <w:szCs w:val="24"/>
              </w:rPr>
            </w:pPr>
          </w:p>
        </w:tc>
        <w:tc>
          <w:tcPr>
            <w:tcW w:w="1276" w:type="dxa"/>
          </w:tcPr>
          <w:p w:rsidR="00914890" w:rsidRPr="005C68CD" w:rsidRDefault="00914890" w:rsidP="003C118F">
            <w:pPr>
              <w:jc w:val="center"/>
              <w:rPr>
                <w:rFonts w:ascii="Arial" w:hAnsi="Arial" w:cs="Arial"/>
                <w:sz w:val="24"/>
                <w:szCs w:val="24"/>
              </w:rPr>
            </w:pPr>
            <w:r w:rsidRPr="005C68CD">
              <w:rPr>
                <w:rFonts w:ascii="Arial" w:hAnsi="Arial" w:cs="Arial"/>
                <w:sz w:val="24"/>
                <w:szCs w:val="24"/>
              </w:rPr>
              <w:t>+747</w:t>
            </w:r>
          </w:p>
        </w:tc>
        <w:tc>
          <w:tcPr>
            <w:tcW w:w="2083" w:type="dxa"/>
          </w:tcPr>
          <w:p w:rsidR="00914890" w:rsidRPr="005C68CD" w:rsidRDefault="00914890" w:rsidP="003C118F">
            <w:pPr>
              <w:jc w:val="center"/>
              <w:rPr>
                <w:rFonts w:ascii="Arial" w:hAnsi="Arial" w:cs="Arial"/>
                <w:sz w:val="24"/>
                <w:szCs w:val="24"/>
              </w:rPr>
            </w:pPr>
            <w:r w:rsidRPr="005C68CD">
              <w:rPr>
                <w:rFonts w:ascii="Arial" w:hAnsi="Arial" w:cs="Arial"/>
                <w:sz w:val="24"/>
                <w:szCs w:val="24"/>
              </w:rPr>
              <w:t>-39</w:t>
            </w:r>
          </w:p>
        </w:tc>
      </w:tr>
    </w:tbl>
    <w:p w:rsidR="00914890" w:rsidRPr="005C68CD" w:rsidRDefault="00914890" w:rsidP="003C118F">
      <w:pPr>
        <w:spacing w:after="0" w:line="240" w:lineRule="auto"/>
        <w:ind w:left="360"/>
      </w:pPr>
      <w:r w:rsidRPr="005C68CD">
        <w:t xml:space="preserve">* Cumulative variance is calculated against revised </w:t>
      </w:r>
      <w:proofErr w:type="spellStart"/>
      <w:r w:rsidRPr="005C68CD">
        <w:t>Keppie</w:t>
      </w:r>
      <w:proofErr w:type="spellEnd"/>
      <w:r w:rsidRPr="005C68CD">
        <w:t xml:space="preserve"> Massie targets 2016 –adjusted 2017.  </w:t>
      </w:r>
    </w:p>
    <w:p w:rsidR="00914890" w:rsidRPr="005C68CD" w:rsidRDefault="00914890" w:rsidP="003C118F">
      <w:pPr>
        <w:spacing w:after="0" w:line="240" w:lineRule="auto"/>
        <w:ind w:left="360"/>
      </w:pPr>
      <w:r w:rsidRPr="005C68CD">
        <w:t>**</w:t>
      </w:r>
      <w:r w:rsidRPr="005C68CD">
        <w:tab/>
        <w:t>Includes Outline and Full Planning consent only</w:t>
      </w:r>
    </w:p>
    <w:p w:rsidR="00914890" w:rsidRDefault="00914890" w:rsidP="003C118F">
      <w:pPr>
        <w:tabs>
          <w:tab w:val="left" w:pos="426"/>
        </w:tabs>
        <w:spacing w:after="0" w:line="240" w:lineRule="auto"/>
        <w:rPr>
          <w:rFonts w:ascii="Arial" w:hAnsi="Arial" w:cs="Arial"/>
          <w:b/>
          <w:sz w:val="24"/>
          <w:szCs w:val="24"/>
        </w:rPr>
      </w:pPr>
    </w:p>
    <w:p w:rsidR="00914890" w:rsidRPr="005C68CD" w:rsidRDefault="00914890" w:rsidP="003C118F">
      <w:pPr>
        <w:tabs>
          <w:tab w:val="left" w:pos="426"/>
        </w:tabs>
        <w:spacing w:after="0" w:line="240" w:lineRule="auto"/>
        <w:rPr>
          <w:rFonts w:ascii="Arial" w:hAnsi="Arial" w:cs="Arial"/>
          <w:b/>
          <w:sz w:val="24"/>
          <w:szCs w:val="24"/>
        </w:rPr>
      </w:pPr>
      <w:r w:rsidRPr="005C68CD">
        <w:rPr>
          <w:rFonts w:ascii="Arial" w:hAnsi="Arial" w:cs="Arial"/>
          <w:b/>
          <w:sz w:val="24"/>
          <w:szCs w:val="24"/>
        </w:rPr>
        <w:t xml:space="preserve">Notable progress has been made on the following named sites: </w:t>
      </w:r>
    </w:p>
    <w:p w:rsidR="00914890" w:rsidRPr="005C68CD" w:rsidRDefault="00914890" w:rsidP="003C118F">
      <w:pPr>
        <w:pStyle w:val="ListParagraph"/>
        <w:numPr>
          <w:ilvl w:val="0"/>
          <w:numId w:val="12"/>
        </w:numPr>
        <w:tabs>
          <w:tab w:val="left" w:pos="426"/>
        </w:tabs>
        <w:spacing w:after="0" w:line="240" w:lineRule="auto"/>
        <w:rPr>
          <w:rFonts w:ascii="Arial" w:hAnsi="Arial" w:cs="Arial"/>
          <w:sz w:val="24"/>
          <w:szCs w:val="24"/>
        </w:rPr>
      </w:pPr>
      <w:r w:rsidRPr="005C68CD">
        <w:rPr>
          <w:rFonts w:ascii="Arial" w:hAnsi="Arial" w:cs="Arial"/>
          <w:sz w:val="24"/>
          <w:szCs w:val="24"/>
        </w:rPr>
        <w:t xml:space="preserve">The masterplan for Moss Side Test Track was approved by planning in July 2017 with an outline </w:t>
      </w:r>
      <w:r>
        <w:rPr>
          <w:rFonts w:ascii="Arial" w:hAnsi="Arial" w:cs="Arial"/>
          <w:sz w:val="24"/>
          <w:szCs w:val="24"/>
        </w:rPr>
        <w:t xml:space="preserve">application </w:t>
      </w:r>
      <w:r w:rsidRPr="005C68CD">
        <w:rPr>
          <w:rFonts w:ascii="Arial" w:hAnsi="Arial" w:cs="Arial"/>
          <w:sz w:val="24"/>
          <w:szCs w:val="24"/>
        </w:rPr>
        <w:t>anticipated by the end of the year.</w:t>
      </w:r>
    </w:p>
    <w:p w:rsidR="00914890" w:rsidRPr="005C68CD" w:rsidRDefault="00914890" w:rsidP="003C118F">
      <w:pPr>
        <w:pStyle w:val="ListParagraph"/>
        <w:numPr>
          <w:ilvl w:val="0"/>
          <w:numId w:val="12"/>
        </w:numPr>
        <w:tabs>
          <w:tab w:val="left" w:pos="426"/>
        </w:tabs>
        <w:spacing w:after="0" w:line="240" w:lineRule="auto"/>
        <w:rPr>
          <w:rFonts w:ascii="Arial" w:hAnsi="Arial" w:cs="Arial"/>
          <w:sz w:val="24"/>
          <w:szCs w:val="24"/>
        </w:rPr>
      </w:pPr>
      <w:r w:rsidRPr="005C68CD">
        <w:rPr>
          <w:rFonts w:ascii="Arial" w:hAnsi="Arial" w:cs="Arial"/>
          <w:sz w:val="24"/>
          <w:szCs w:val="24"/>
        </w:rPr>
        <w:t xml:space="preserve">All NW Preston sites are progressing well, Haydock Grange is progressing particularly quickly and </w:t>
      </w:r>
      <w:proofErr w:type="spellStart"/>
      <w:r w:rsidRPr="005C68CD">
        <w:rPr>
          <w:rFonts w:ascii="Arial" w:hAnsi="Arial" w:cs="Arial"/>
          <w:sz w:val="24"/>
          <w:szCs w:val="24"/>
        </w:rPr>
        <w:t>Eastway</w:t>
      </w:r>
      <w:proofErr w:type="spellEnd"/>
      <w:r w:rsidRPr="005C68CD">
        <w:rPr>
          <w:rFonts w:ascii="Arial" w:hAnsi="Arial" w:cs="Arial"/>
          <w:sz w:val="24"/>
          <w:szCs w:val="24"/>
        </w:rPr>
        <w:t xml:space="preserve"> is also performing well, although start on site was only recently.</w:t>
      </w:r>
    </w:p>
    <w:p w:rsidR="00914890" w:rsidRPr="005C68CD" w:rsidRDefault="00914890" w:rsidP="003C118F">
      <w:pPr>
        <w:pStyle w:val="ListParagraph"/>
        <w:numPr>
          <w:ilvl w:val="0"/>
          <w:numId w:val="12"/>
        </w:numPr>
        <w:tabs>
          <w:tab w:val="left" w:pos="426"/>
        </w:tabs>
        <w:spacing w:after="0" w:line="240" w:lineRule="auto"/>
        <w:rPr>
          <w:rFonts w:ascii="Arial" w:hAnsi="Arial" w:cs="Arial"/>
          <w:sz w:val="24"/>
          <w:szCs w:val="24"/>
        </w:rPr>
      </w:pPr>
      <w:r w:rsidRPr="005C68CD">
        <w:rPr>
          <w:rFonts w:ascii="Arial" w:hAnsi="Arial" w:cs="Arial"/>
          <w:sz w:val="24"/>
          <w:szCs w:val="24"/>
        </w:rPr>
        <w:t xml:space="preserve">In South </w:t>
      </w:r>
      <w:proofErr w:type="spellStart"/>
      <w:r w:rsidRPr="005C68CD">
        <w:rPr>
          <w:rFonts w:ascii="Arial" w:hAnsi="Arial" w:cs="Arial"/>
          <w:sz w:val="24"/>
          <w:szCs w:val="24"/>
        </w:rPr>
        <w:t>Ribble</w:t>
      </w:r>
      <w:proofErr w:type="spellEnd"/>
      <w:r w:rsidRPr="005C68CD">
        <w:rPr>
          <w:rFonts w:ascii="Arial" w:hAnsi="Arial" w:cs="Arial"/>
          <w:sz w:val="24"/>
          <w:szCs w:val="24"/>
        </w:rPr>
        <w:t xml:space="preserve"> the </w:t>
      </w:r>
      <w:proofErr w:type="spellStart"/>
      <w:r w:rsidRPr="005C68CD">
        <w:rPr>
          <w:rFonts w:ascii="Arial" w:hAnsi="Arial" w:cs="Arial"/>
          <w:sz w:val="24"/>
          <w:szCs w:val="24"/>
        </w:rPr>
        <w:t>Altcar</w:t>
      </w:r>
      <w:proofErr w:type="spellEnd"/>
      <w:r w:rsidRPr="005C68CD">
        <w:rPr>
          <w:rFonts w:ascii="Arial" w:hAnsi="Arial" w:cs="Arial"/>
          <w:sz w:val="24"/>
          <w:szCs w:val="24"/>
        </w:rPr>
        <w:t xml:space="preserve"> Lane site </w:t>
      </w:r>
      <w:r>
        <w:rPr>
          <w:rFonts w:ascii="Arial" w:hAnsi="Arial" w:cs="Arial"/>
          <w:sz w:val="24"/>
          <w:szCs w:val="24"/>
        </w:rPr>
        <w:t>(</w:t>
      </w:r>
      <w:proofErr w:type="spellStart"/>
      <w:r>
        <w:rPr>
          <w:rFonts w:ascii="Arial" w:hAnsi="Arial" w:cs="Arial"/>
          <w:sz w:val="24"/>
          <w:szCs w:val="24"/>
        </w:rPr>
        <w:t>Redrow</w:t>
      </w:r>
      <w:proofErr w:type="spellEnd"/>
      <w:r>
        <w:rPr>
          <w:rFonts w:ascii="Arial" w:hAnsi="Arial" w:cs="Arial"/>
          <w:sz w:val="24"/>
          <w:szCs w:val="24"/>
        </w:rPr>
        <w:t xml:space="preserve"> site) </w:t>
      </w:r>
      <w:r w:rsidRPr="005C68CD">
        <w:rPr>
          <w:rFonts w:ascii="Arial" w:hAnsi="Arial" w:cs="Arial"/>
          <w:sz w:val="24"/>
          <w:szCs w:val="24"/>
        </w:rPr>
        <w:t xml:space="preserve">has gained outline planning permission and reserved matters submissions are expected in the near future.  </w:t>
      </w:r>
    </w:p>
    <w:p w:rsidR="00914890" w:rsidRDefault="00914890" w:rsidP="003C118F">
      <w:pPr>
        <w:pStyle w:val="ListParagraph"/>
        <w:numPr>
          <w:ilvl w:val="0"/>
          <w:numId w:val="12"/>
        </w:numPr>
        <w:tabs>
          <w:tab w:val="left" w:pos="426"/>
        </w:tabs>
        <w:spacing w:after="0" w:line="240" w:lineRule="auto"/>
        <w:rPr>
          <w:rFonts w:ascii="Arial" w:hAnsi="Arial" w:cs="Arial"/>
          <w:sz w:val="24"/>
          <w:szCs w:val="24"/>
        </w:rPr>
      </w:pPr>
      <w:r w:rsidRPr="005C68CD">
        <w:rPr>
          <w:rFonts w:ascii="Arial" w:hAnsi="Arial" w:cs="Arial"/>
          <w:sz w:val="24"/>
          <w:szCs w:val="24"/>
        </w:rPr>
        <w:t xml:space="preserve">The southern end of the </w:t>
      </w:r>
      <w:proofErr w:type="spellStart"/>
      <w:r w:rsidRPr="005C68CD">
        <w:rPr>
          <w:rFonts w:ascii="Arial" w:hAnsi="Arial" w:cs="Arial"/>
          <w:sz w:val="24"/>
          <w:szCs w:val="24"/>
        </w:rPr>
        <w:t>Croston</w:t>
      </w:r>
      <w:proofErr w:type="spellEnd"/>
      <w:r w:rsidRPr="005C68CD">
        <w:rPr>
          <w:rFonts w:ascii="Arial" w:hAnsi="Arial" w:cs="Arial"/>
          <w:sz w:val="24"/>
          <w:szCs w:val="24"/>
        </w:rPr>
        <w:t xml:space="preserve"> Road site is progressing at pace and the HCA is looking at options to facilitate the delivery of the spine road on the northern section of the site.</w:t>
      </w:r>
    </w:p>
    <w:p w:rsidR="003C118F" w:rsidRPr="005C68CD" w:rsidRDefault="003C118F" w:rsidP="003C118F">
      <w:pPr>
        <w:pStyle w:val="ListParagraph"/>
        <w:numPr>
          <w:ilvl w:val="0"/>
          <w:numId w:val="12"/>
        </w:numPr>
        <w:tabs>
          <w:tab w:val="left" w:pos="426"/>
        </w:tabs>
        <w:spacing w:after="0" w:line="240" w:lineRule="auto"/>
        <w:rPr>
          <w:rFonts w:ascii="Arial" w:hAnsi="Arial" w:cs="Arial"/>
          <w:sz w:val="24"/>
          <w:szCs w:val="24"/>
        </w:rPr>
      </w:pPr>
    </w:p>
    <w:p w:rsidR="00914890" w:rsidRDefault="00914890" w:rsidP="003C118F">
      <w:pPr>
        <w:tabs>
          <w:tab w:val="left" w:pos="426"/>
        </w:tabs>
        <w:spacing w:after="0" w:line="240" w:lineRule="auto"/>
        <w:rPr>
          <w:rFonts w:ascii="Arial" w:hAnsi="Arial" w:cs="Arial"/>
          <w:b/>
          <w:sz w:val="24"/>
          <w:szCs w:val="24"/>
        </w:rPr>
      </w:pPr>
      <w:r w:rsidRPr="005C68CD">
        <w:rPr>
          <w:rFonts w:ascii="Arial" w:hAnsi="Arial" w:cs="Arial"/>
          <w:b/>
          <w:sz w:val="24"/>
          <w:szCs w:val="24"/>
        </w:rPr>
        <w:t>The following sites have not progressed as anticipated:</w:t>
      </w:r>
    </w:p>
    <w:p w:rsidR="003C118F" w:rsidRPr="005C68CD" w:rsidRDefault="003C118F" w:rsidP="003C118F">
      <w:pPr>
        <w:tabs>
          <w:tab w:val="left" w:pos="426"/>
        </w:tabs>
        <w:spacing w:after="0" w:line="240" w:lineRule="auto"/>
        <w:rPr>
          <w:rFonts w:ascii="Arial" w:hAnsi="Arial" w:cs="Arial"/>
          <w:b/>
          <w:sz w:val="24"/>
          <w:szCs w:val="24"/>
        </w:rPr>
      </w:pPr>
    </w:p>
    <w:p w:rsidR="00914890" w:rsidRDefault="00914890" w:rsidP="003C118F">
      <w:pPr>
        <w:tabs>
          <w:tab w:val="left" w:pos="426"/>
        </w:tabs>
        <w:spacing w:after="0" w:line="240" w:lineRule="auto"/>
        <w:rPr>
          <w:rFonts w:ascii="Arial" w:hAnsi="Arial" w:cs="Arial"/>
          <w:sz w:val="24"/>
          <w:szCs w:val="24"/>
        </w:rPr>
      </w:pPr>
      <w:r w:rsidRPr="005C68CD">
        <w:rPr>
          <w:rFonts w:ascii="Arial" w:hAnsi="Arial" w:cs="Arial"/>
          <w:sz w:val="24"/>
          <w:szCs w:val="24"/>
        </w:rPr>
        <w:t xml:space="preserve">There are a number of sites where overall progress towards delivery is either slower than anticipated or issues have been identified that need to be addressed in order for </w:t>
      </w:r>
      <w:r w:rsidRPr="005C68CD">
        <w:rPr>
          <w:rFonts w:ascii="Arial" w:hAnsi="Arial" w:cs="Arial"/>
          <w:sz w:val="24"/>
          <w:szCs w:val="24"/>
        </w:rPr>
        <w:lastRenderedPageBreak/>
        <w:t xml:space="preserve">the sites to move forward.  These are </w:t>
      </w:r>
      <w:r>
        <w:rPr>
          <w:rFonts w:ascii="Arial" w:hAnsi="Arial" w:cs="Arial"/>
          <w:sz w:val="24"/>
          <w:szCs w:val="24"/>
        </w:rPr>
        <w:t xml:space="preserve">summarised in </w:t>
      </w:r>
      <w:r w:rsidRPr="005C68CD">
        <w:rPr>
          <w:rFonts w:ascii="Arial" w:hAnsi="Arial" w:cs="Arial"/>
          <w:sz w:val="24"/>
          <w:szCs w:val="24"/>
        </w:rPr>
        <w:t>the</w:t>
      </w:r>
      <w:r>
        <w:rPr>
          <w:rFonts w:ascii="Arial" w:hAnsi="Arial" w:cs="Arial"/>
          <w:sz w:val="24"/>
          <w:szCs w:val="24"/>
        </w:rPr>
        <w:t xml:space="preserve"> Housing and employment </w:t>
      </w:r>
      <w:r w:rsidRPr="005C68CD">
        <w:rPr>
          <w:rFonts w:ascii="Arial" w:hAnsi="Arial" w:cs="Arial"/>
          <w:sz w:val="24"/>
          <w:szCs w:val="24"/>
        </w:rPr>
        <w:t>dashboard</w:t>
      </w:r>
      <w:r>
        <w:rPr>
          <w:rFonts w:ascii="Arial" w:hAnsi="Arial" w:cs="Arial"/>
          <w:sz w:val="24"/>
          <w:szCs w:val="24"/>
        </w:rPr>
        <w:t xml:space="preserve"> appendix 2</w:t>
      </w:r>
      <w:r w:rsidRPr="005C68CD">
        <w:rPr>
          <w:rFonts w:ascii="Arial" w:hAnsi="Arial" w:cs="Arial"/>
          <w:sz w:val="24"/>
          <w:szCs w:val="24"/>
        </w:rPr>
        <w:t xml:space="preserve"> – </w:t>
      </w:r>
      <w:r>
        <w:rPr>
          <w:rFonts w:ascii="Arial" w:hAnsi="Arial" w:cs="Arial"/>
          <w:sz w:val="24"/>
          <w:szCs w:val="24"/>
        </w:rPr>
        <w:t xml:space="preserve">fig 2 – Housing and employment sites – sites identified as amber or red - issues and responses.  </w:t>
      </w:r>
      <w:r w:rsidRPr="005C68CD">
        <w:rPr>
          <w:rFonts w:ascii="Arial" w:hAnsi="Arial" w:cs="Arial"/>
          <w:sz w:val="24"/>
          <w:szCs w:val="24"/>
        </w:rPr>
        <w:t>The more significant sites, those expected to yield the greatest housing numbers continue to be monitored closely by the Development Sites Delivery Group (DSDG) in order to progress delivery at the earliest opportunity.</w:t>
      </w:r>
    </w:p>
    <w:p w:rsidR="003C118F" w:rsidRPr="005C68CD" w:rsidRDefault="003C118F" w:rsidP="003C118F">
      <w:pPr>
        <w:tabs>
          <w:tab w:val="left" w:pos="426"/>
        </w:tabs>
        <w:spacing w:after="0" w:line="240" w:lineRule="auto"/>
        <w:rPr>
          <w:rFonts w:ascii="Arial" w:hAnsi="Arial" w:cs="Arial"/>
          <w:sz w:val="24"/>
          <w:szCs w:val="24"/>
        </w:rPr>
      </w:pPr>
    </w:p>
    <w:p w:rsidR="00914890" w:rsidRPr="005C68CD" w:rsidRDefault="00914890" w:rsidP="003C118F">
      <w:pPr>
        <w:pStyle w:val="ListParagraph"/>
        <w:numPr>
          <w:ilvl w:val="0"/>
          <w:numId w:val="11"/>
        </w:numPr>
        <w:autoSpaceDE w:val="0"/>
        <w:autoSpaceDN w:val="0"/>
        <w:adjustRightInd w:val="0"/>
        <w:spacing w:after="0" w:line="240" w:lineRule="auto"/>
        <w:rPr>
          <w:rFonts w:ascii="Arial" w:hAnsi="Arial" w:cs="Arial"/>
          <w:sz w:val="24"/>
          <w:szCs w:val="24"/>
        </w:rPr>
      </w:pPr>
      <w:r w:rsidRPr="005C68CD">
        <w:rPr>
          <w:rFonts w:ascii="Arial" w:hAnsi="Arial" w:cs="Arial"/>
          <w:sz w:val="24"/>
          <w:szCs w:val="24"/>
        </w:rPr>
        <w:t xml:space="preserve">Ongoing delays associated with </w:t>
      </w:r>
      <w:proofErr w:type="spellStart"/>
      <w:r w:rsidRPr="005C68CD">
        <w:rPr>
          <w:rFonts w:ascii="Arial" w:hAnsi="Arial" w:cs="Arial"/>
          <w:sz w:val="24"/>
          <w:szCs w:val="24"/>
        </w:rPr>
        <w:t>Pickerings</w:t>
      </w:r>
      <w:proofErr w:type="spellEnd"/>
      <w:r w:rsidRPr="005C68CD">
        <w:rPr>
          <w:rFonts w:ascii="Arial" w:hAnsi="Arial" w:cs="Arial"/>
          <w:sz w:val="24"/>
          <w:szCs w:val="24"/>
        </w:rPr>
        <w:t xml:space="preserve"> Farm and Whittingham Hospital risk the ongoing success of housing delivery across HCA land. Measures are being put in place to address the delays and expedite progress where possible.</w:t>
      </w:r>
    </w:p>
    <w:p w:rsidR="00914890" w:rsidRPr="005C68CD" w:rsidRDefault="00914890" w:rsidP="003C118F">
      <w:pPr>
        <w:pStyle w:val="ListParagraph"/>
        <w:numPr>
          <w:ilvl w:val="0"/>
          <w:numId w:val="11"/>
        </w:numPr>
        <w:spacing w:after="0" w:line="240" w:lineRule="auto"/>
        <w:rPr>
          <w:rFonts w:ascii="Arial" w:hAnsi="Arial" w:cs="Arial"/>
          <w:sz w:val="24"/>
          <w:szCs w:val="24"/>
        </w:rPr>
      </w:pPr>
      <w:r w:rsidRPr="005C68CD">
        <w:rPr>
          <w:rFonts w:ascii="Arial" w:hAnsi="Arial" w:cs="Arial"/>
          <w:sz w:val="24"/>
          <w:szCs w:val="24"/>
        </w:rPr>
        <w:t>Viability remains a concern at Whittingham Hospital due to the level of abnormal costs associated with a new spine road, foul sewer connection and the provision of a new sports facility.</w:t>
      </w:r>
    </w:p>
    <w:p w:rsidR="00914890" w:rsidRPr="005C68CD" w:rsidRDefault="00914890" w:rsidP="003C118F">
      <w:pPr>
        <w:pStyle w:val="ListParagraph"/>
        <w:numPr>
          <w:ilvl w:val="0"/>
          <w:numId w:val="11"/>
        </w:numPr>
        <w:tabs>
          <w:tab w:val="left" w:pos="426"/>
        </w:tabs>
        <w:spacing w:after="0" w:line="240" w:lineRule="auto"/>
        <w:rPr>
          <w:rFonts w:ascii="Arial" w:hAnsi="Arial" w:cs="Arial"/>
          <w:sz w:val="24"/>
          <w:szCs w:val="24"/>
        </w:rPr>
      </w:pPr>
      <w:r>
        <w:rPr>
          <w:rFonts w:ascii="Arial" w:hAnsi="Arial" w:cs="Arial"/>
          <w:sz w:val="24"/>
          <w:szCs w:val="24"/>
        </w:rPr>
        <w:t xml:space="preserve">Vernon </w:t>
      </w:r>
      <w:proofErr w:type="spellStart"/>
      <w:r>
        <w:rPr>
          <w:rFonts w:ascii="Arial" w:hAnsi="Arial" w:cs="Arial"/>
          <w:sz w:val="24"/>
          <w:szCs w:val="24"/>
        </w:rPr>
        <w:t>Carus</w:t>
      </w:r>
      <w:proofErr w:type="spellEnd"/>
      <w:r w:rsidRPr="005C68CD">
        <w:rPr>
          <w:rFonts w:ascii="Arial" w:hAnsi="Arial" w:cs="Arial"/>
          <w:sz w:val="24"/>
          <w:szCs w:val="24"/>
        </w:rPr>
        <w:t xml:space="preserve"> - </w:t>
      </w:r>
      <w:proofErr w:type="spellStart"/>
      <w:r w:rsidRPr="005C68CD">
        <w:rPr>
          <w:rFonts w:ascii="Arial" w:hAnsi="Arial" w:cs="Arial"/>
          <w:sz w:val="24"/>
          <w:szCs w:val="24"/>
        </w:rPr>
        <w:t>Bovis</w:t>
      </w:r>
      <w:proofErr w:type="spellEnd"/>
      <w:r w:rsidRPr="005C68CD">
        <w:rPr>
          <w:rFonts w:ascii="Arial" w:hAnsi="Arial" w:cs="Arial"/>
          <w:sz w:val="24"/>
          <w:szCs w:val="24"/>
        </w:rPr>
        <w:t xml:space="preserve"> are actively marketing this site and as such it is unlikely that discharge of permissions will take place as originally anticipated in order to secure delivery as planned. </w:t>
      </w:r>
    </w:p>
    <w:p w:rsidR="00914890" w:rsidRPr="005C68CD" w:rsidRDefault="00914890" w:rsidP="003C118F">
      <w:pPr>
        <w:pStyle w:val="ListParagraph"/>
        <w:numPr>
          <w:ilvl w:val="0"/>
          <w:numId w:val="11"/>
        </w:numPr>
        <w:tabs>
          <w:tab w:val="left" w:pos="426"/>
        </w:tabs>
        <w:spacing w:after="0" w:line="240" w:lineRule="auto"/>
        <w:rPr>
          <w:rFonts w:ascii="Arial" w:hAnsi="Arial" w:cs="Arial"/>
          <w:sz w:val="24"/>
          <w:szCs w:val="24"/>
        </w:rPr>
      </w:pPr>
      <w:r w:rsidRPr="005C68CD">
        <w:rPr>
          <w:rFonts w:ascii="Arial" w:hAnsi="Arial" w:cs="Arial"/>
          <w:sz w:val="24"/>
          <w:szCs w:val="24"/>
        </w:rPr>
        <w:t xml:space="preserve">The development of the entire </w:t>
      </w:r>
      <w:proofErr w:type="spellStart"/>
      <w:r w:rsidRPr="005C68CD">
        <w:rPr>
          <w:rFonts w:ascii="Arial" w:hAnsi="Arial" w:cs="Arial"/>
          <w:sz w:val="24"/>
          <w:szCs w:val="24"/>
        </w:rPr>
        <w:t>Heatherleigh</w:t>
      </w:r>
      <w:proofErr w:type="spellEnd"/>
      <w:r w:rsidRPr="005C68CD">
        <w:rPr>
          <w:rFonts w:ascii="Arial" w:hAnsi="Arial" w:cs="Arial"/>
          <w:sz w:val="24"/>
          <w:szCs w:val="24"/>
        </w:rPr>
        <w:t>/</w:t>
      </w:r>
      <w:proofErr w:type="spellStart"/>
      <w:r w:rsidRPr="005C68CD">
        <w:rPr>
          <w:rFonts w:ascii="Arial" w:hAnsi="Arial" w:cs="Arial"/>
          <w:sz w:val="24"/>
          <w:szCs w:val="24"/>
        </w:rPr>
        <w:t>Croston</w:t>
      </w:r>
      <w:proofErr w:type="spellEnd"/>
      <w:r w:rsidRPr="005C68CD">
        <w:rPr>
          <w:rFonts w:ascii="Arial" w:hAnsi="Arial" w:cs="Arial"/>
          <w:sz w:val="24"/>
          <w:szCs w:val="24"/>
        </w:rPr>
        <w:t xml:space="preserve"> road site has experienced issues with individual landowners not wanting to bring their land forward at this time. </w:t>
      </w:r>
    </w:p>
    <w:p w:rsidR="00914890" w:rsidRDefault="00914890" w:rsidP="003C118F">
      <w:pPr>
        <w:spacing w:after="0" w:line="240" w:lineRule="auto"/>
        <w:rPr>
          <w:rFonts w:ascii="Arial" w:hAnsi="Arial" w:cs="Arial"/>
          <w:b/>
          <w:sz w:val="24"/>
          <w:szCs w:val="24"/>
          <w:u w:val="single"/>
        </w:rPr>
      </w:pPr>
    </w:p>
    <w:p w:rsidR="00914890" w:rsidRPr="005C68CD" w:rsidRDefault="00914890" w:rsidP="003C118F">
      <w:pPr>
        <w:spacing w:after="0" w:line="240" w:lineRule="auto"/>
        <w:rPr>
          <w:rFonts w:ascii="Arial" w:hAnsi="Arial" w:cs="Arial"/>
          <w:b/>
          <w:sz w:val="24"/>
          <w:szCs w:val="24"/>
          <w:u w:val="single"/>
        </w:rPr>
      </w:pPr>
      <w:r w:rsidRPr="005C68CD">
        <w:rPr>
          <w:rFonts w:ascii="Arial" w:hAnsi="Arial" w:cs="Arial"/>
          <w:b/>
          <w:sz w:val="24"/>
          <w:szCs w:val="24"/>
          <w:u w:val="single"/>
        </w:rPr>
        <w:t>Table 2 – Performance on HCA sites between 1</w:t>
      </w:r>
      <w:r>
        <w:rPr>
          <w:rFonts w:ascii="Arial" w:hAnsi="Arial" w:cs="Arial"/>
          <w:b/>
          <w:sz w:val="24"/>
          <w:szCs w:val="24"/>
          <w:u w:val="single"/>
        </w:rPr>
        <w:t xml:space="preserve"> </w:t>
      </w:r>
      <w:r w:rsidRPr="005C68CD">
        <w:rPr>
          <w:rFonts w:ascii="Arial" w:hAnsi="Arial" w:cs="Arial"/>
          <w:b/>
          <w:sz w:val="24"/>
          <w:szCs w:val="24"/>
          <w:u w:val="single"/>
        </w:rPr>
        <w:t xml:space="preserve">April and 30 Sept 2017: </w:t>
      </w:r>
    </w:p>
    <w:p w:rsidR="00914890" w:rsidRPr="005C68CD" w:rsidRDefault="00914890" w:rsidP="003C118F">
      <w:pPr>
        <w:spacing w:after="0" w:line="240" w:lineRule="auto"/>
        <w:rPr>
          <w:rFonts w:ascii="Arial" w:hAnsi="Arial" w:cs="Arial"/>
          <w:b/>
          <w:sz w:val="24"/>
          <w:szCs w:val="24"/>
        </w:rPr>
      </w:pPr>
    </w:p>
    <w:tbl>
      <w:tblPr>
        <w:tblW w:w="5000" w:type="pct"/>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14"/>
        <w:gridCol w:w="992"/>
        <w:gridCol w:w="993"/>
        <w:gridCol w:w="1134"/>
        <w:gridCol w:w="1417"/>
        <w:gridCol w:w="1460"/>
      </w:tblGrid>
      <w:tr w:rsidR="00914890" w:rsidRPr="005C68CD" w:rsidTr="00914890">
        <w:trPr>
          <w:trHeight w:val="918"/>
        </w:trPr>
        <w:tc>
          <w:tcPr>
            <w:tcW w:w="3014" w:type="dxa"/>
          </w:tcPr>
          <w:p w:rsidR="00914890" w:rsidRPr="005C68CD" w:rsidRDefault="00914890" w:rsidP="003C118F">
            <w:pPr>
              <w:autoSpaceDE w:val="0"/>
              <w:autoSpaceDN w:val="0"/>
              <w:adjustRightInd w:val="0"/>
              <w:spacing w:after="0" w:line="240" w:lineRule="auto"/>
              <w:rPr>
                <w:rFonts w:ascii="Arial" w:hAnsi="Arial" w:cs="Arial"/>
                <w:b/>
                <w:bCs/>
              </w:rPr>
            </w:pPr>
            <w:r w:rsidRPr="005C68CD">
              <w:rPr>
                <w:rFonts w:ascii="Arial" w:hAnsi="Arial" w:cs="Arial"/>
                <w:b/>
                <w:bCs/>
              </w:rPr>
              <w:t xml:space="preserve">Measure </w:t>
            </w:r>
          </w:p>
        </w:tc>
        <w:tc>
          <w:tcPr>
            <w:tcW w:w="992" w:type="dxa"/>
          </w:tcPr>
          <w:p w:rsidR="00914890" w:rsidRPr="005C68CD" w:rsidRDefault="00914890" w:rsidP="003C118F">
            <w:pPr>
              <w:autoSpaceDE w:val="0"/>
              <w:autoSpaceDN w:val="0"/>
              <w:adjustRightInd w:val="0"/>
              <w:spacing w:after="0" w:line="240" w:lineRule="auto"/>
              <w:jc w:val="center"/>
              <w:rPr>
                <w:rFonts w:ascii="Arial" w:hAnsi="Arial" w:cs="Arial"/>
                <w:b/>
                <w:bCs/>
              </w:rPr>
            </w:pPr>
            <w:r w:rsidRPr="005C68CD">
              <w:rPr>
                <w:rFonts w:ascii="Arial" w:hAnsi="Arial" w:cs="Arial"/>
                <w:b/>
                <w:bCs/>
              </w:rPr>
              <w:t>Six month target</w:t>
            </w:r>
          </w:p>
        </w:tc>
        <w:tc>
          <w:tcPr>
            <w:tcW w:w="993" w:type="dxa"/>
          </w:tcPr>
          <w:p w:rsidR="00914890" w:rsidRPr="005C68CD" w:rsidRDefault="00914890" w:rsidP="003C118F">
            <w:pPr>
              <w:autoSpaceDE w:val="0"/>
              <w:autoSpaceDN w:val="0"/>
              <w:adjustRightInd w:val="0"/>
              <w:spacing w:after="0" w:line="240" w:lineRule="auto"/>
              <w:jc w:val="center"/>
              <w:rPr>
                <w:rFonts w:ascii="Arial" w:hAnsi="Arial" w:cs="Arial"/>
                <w:b/>
                <w:bCs/>
              </w:rPr>
            </w:pPr>
            <w:r>
              <w:rPr>
                <w:rFonts w:ascii="Arial" w:hAnsi="Arial" w:cs="Arial"/>
                <w:b/>
                <w:bCs/>
              </w:rPr>
              <w:t xml:space="preserve">Six </w:t>
            </w:r>
            <w:r w:rsidRPr="005C68CD">
              <w:rPr>
                <w:rFonts w:ascii="Arial" w:hAnsi="Arial" w:cs="Arial"/>
                <w:b/>
                <w:bCs/>
              </w:rPr>
              <w:t>month actual</w:t>
            </w:r>
          </w:p>
        </w:tc>
        <w:tc>
          <w:tcPr>
            <w:tcW w:w="1134" w:type="dxa"/>
          </w:tcPr>
          <w:p w:rsidR="00914890" w:rsidRPr="005C68CD" w:rsidRDefault="00914890" w:rsidP="003C118F">
            <w:pPr>
              <w:autoSpaceDE w:val="0"/>
              <w:autoSpaceDN w:val="0"/>
              <w:adjustRightInd w:val="0"/>
              <w:spacing w:after="0" w:line="240" w:lineRule="auto"/>
              <w:jc w:val="center"/>
              <w:rPr>
                <w:rFonts w:ascii="Arial" w:hAnsi="Arial" w:cs="Arial"/>
                <w:b/>
                <w:bCs/>
              </w:rPr>
            </w:pPr>
            <w:r w:rsidRPr="005C68CD">
              <w:rPr>
                <w:rFonts w:ascii="Arial" w:hAnsi="Arial" w:cs="Arial"/>
                <w:b/>
                <w:bCs/>
              </w:rPr>
              <w:t>Variance</w:t>
            </w:r>
          </w:p>
        </w:tc>
        <w:tc>
          <w:tcPr>
            <w:tcW w:w="1417" w:type="dxa"/>
          </w:tcPr>
          <w:p w:rsidR="00914890" w:rsidRPr="005C68CD" w:rsidRDefault="00914890" w:rsidP="003C118F">
            <w:pPr>
              <w:autoSpaceDE w:val="0"/>
              <w:autoSpaceDN w:val="0"/>
              <w:adjustRightInd w:val="0"/>
              <w:spacing w:after="0" w:line="240" w:lineRule="auto"/>
              <w:jc w:val="center"/>
              <w:rPr>
                <w:rFonts w:ascii="Arial" w:hAnsi="Arial" w:cs="Arial"/>
                <w:b/>
                <w:bCs/>
              </w:rPr>
            </w:pPr>
            <w:r w:rsidRPr="005C68CD">
              <w:rPr>
                <w:rFonts w:ascii="Arial" w:hAnsi="Arial" w:cs="Arial"/>
                <w:b/>
                <w:bCs/>
              </w:rPr>
              <w:t>All years cumulative (actual)</w:t>
            </w:r>
          </w:p>
        </w:tc>
        <w:tc>
          <w:tcPr>
            <w:tcW w:w="1460" w:type="dxa"/>
          </w:tcPr>
          <w:p w:rsidR="00914890" w:rsidRPr="005C68CD" w:rsidRDefault="00914890" w:rsidP="003C118F">
            <w:pPr>
              <w:autoSpaceDE w:val="0"/>
              <w:autoSpaceDN w:val="0"/>
              <w:adjustRightInd w:val="0"/>
              <w:spacing w:after="0" w:line="240" w:lineRule="auto"/>
              <w:jc w:val="center"/>
              <w:rPr>
                <w:rFonts w:ascii="Arial" w:hAnsi="Arial" w:cs="Arial"/>
                <w:b/>
                <w:bCs/>
              </w:rPr>
            </w:pPr>
            <w:r w:rsidRPr="005C68CD">
              <w:rPr>
                <w:rFonts w:ascii="Arial" w:hAnsi="Arial" w:cs="Arial"/>
                <w:b/>
                <w:bCs/>
              </w:rPr>
              <w:t>All Years Cumulative Variance</w:t>
            </w:r>
          </w:p>
        </w:tc>
      </w:tr>
      <w:tr w:rsidR="00914890" w:rsidRPr="005C68CD" w:rsidTr="00914890">
        <w:trPr>
          <w:trHeight w:val="305"/>
        </w:trPr>
        <w:tc>
          <w:tcPr>
            <w:tcW w:w="3014" w:type="dxa"/>
          </w:tcPr>
          <w:p w:rsidR="00914890" w:rsidRPr="005C68CD" w:rsidRDefault="00914890" w:rsidP="003C118F">
            <w:pPr>
              <w:autoSpaceDE w:val="0"/>
              <w:autoSpaceDN w:val="0"/>
              <w:adjustRightInd w:val="0"/>
              <w:spacing w:after="0" w:line="240" w:lineRule="auto"/>
              <w:jc w:val="right"/>
              <w:rPr>
                <w:rFonts w:ascii="Arial" w:hAnsi="Arial" w:cs="Arial"/>
                <w:b/>
                <w:bCs/>
              </w:rPr>
            </w:pPr>
          </w:p>
        </w:tc>
        <w:tc>
          <w:tcPr>
            <w:tcW w:w="992" w:type="dxa"/>
          </w:tcPr>
          <w:p w:rsidR="00914890" w:rsidRPr="005C68CD" w:rsidRDefault="00914890" w:rsidP="003C118F">
            <w:pPr>
              <w:autoSpaceDE w:val="0"/>
              <w:autoSpaceDN w:val="0"/>
              <w:adjustRightInd w:val="0"/>
              <w:spacing w:after="0" w:line="240" w:lineRule="auto"/>
              <w:jc w:val="center"/>
              <w:rPr>
                <w:rFonts w:ascii="Arial" w:hAnsi="Arial" w:cs="Arial"/>
                <w:b/>
                <w:bCs/>
              </w:rPr>
            </w:pPr>
            <w:r w:rsidRPr="005C68CD">
              <w:rPr>
                <w:rFonts w:ascii="Arial" w:hAnsi="Arial" w:cs="Arial"/>
                <w:b/>
                <w:bCs/>
              </w:rPr>
              <w:t>Target</w:t>
            </w:r>
          </w:p>
        </w:tc>
        <w:tc>
          <w:tcPr>
            <w:tcW w:w="993" w:type="dxa"/>
          </w:tcPr>
          <w:p w:rsidR="00914890" w:rsidRPr="005C68CD" w:rsidRDefault="00914890" w:rsidP="003C118F">
            <w:pPr>
              <w:autoSpaceDE w:val="0"/>
              <w:autoSpaceDN w:val="0"/>
              <w:adjustRightInd w:val="0"/>
              <w:spacing w:after="0" w:line="240" w:lineRule="auto"/>
              <w:jc w:val="center"/>
              <w:rPr>
                <w:rFonts w:ascii="Arial" w:hAnsi="Arial" w:cs="Arial"/>
                <w:b/>
                <w:bCs/>
              </w:rPr>
            </w:pPr>
            <w:r w:rsidRPr="005C68CD">
              <w:rPr>
                <w:rFonts w:ascii="Arial" w:hAnsi="Arial" w:cs="Arial"/>
                <w:b/>
                <w:bCs/>
              </w:rPr>
              <w:t>Actual</w:t>
            </w:r>
          </w:p>
        </w:tc>
        <w:tc>
          <w:tcPr>
            <w:tcW w:w="1134" w:type="dxa"/>
          </w:tcPr>
          <w:p w:rsidR="00914890" w:rsidRPr="005C68CD" w:rsidRDefault="00914890" w:rsidP="003C118F">
            <w:pPr>
              <w:autoSpaceDE w:val="0"/>
              <w:autoSpaceDN w:val="0"/>
              <w:adjustRightInd w:val="0"/>
              <w:spacing w:after="0" w:line="240" w:lineRule="auto"/>
              <w:jc w:val="center"/>
              <w:rPr>
                <w:rFonts w:ascii="Arial" w:hAnsi="Arial" w:cs="Arial"/>
                <w:b/>
                <w:bCs/>
              </w:rPr>
            </w:pPr>
          </w:p>
        </w:tc>
        <w:tc>
          <w:tcPr>
            <w:tcW w:w="1417" w:type="dxa"/>
          </w:tcPr>
          <w:p w:rsidR="00914890" w:rsidRPr="005C68CD" w:rsidRDefault="00914890" w:rsidP="003C118F">
            <w:pPr>
              <w:autoSpaceDE w:val="0"/>
              <w:autoSpaceDN w:val="0"/>
              <w:adjustRightInd w:val="0"/>
              <w:spacing w:after="0" w:line="240" w:lineRule="auto"/>
              <w:jc w:val="center"/>
              <w:rPr>
                <w:rFonts w:ascii="Arial" w:hAnsi="Arial" w:cs="Arial"/>
                <w:b/>
                <w:bCs/>
              </w:rPr>
            </w:pPr>
          </w:p>
        </w:tc>
        <w:tc>
          <w:tcPr>
            <w:tcW w:w="1460" w:type="dxa"/>
          </w:tcPr>
          <w:p w:rsidR="00914890" w:rsidRPr="005C68CD" w:rsidRDefault="00914890" w:rsidP="003C118F">
            <w:pPr>
              <w:autoSpaceDE w:val="0"/>
              <w:autoSpaceDN w:val="0"/>
              <w:adjustRightInd w:val="0"/>
              <w:spacing w:after="0" w:line="240" w:lineRule="auto"/>
              <w:jc w:val="center"/>
              <w:rPr>
                <w:rFonts w:ascii="Arial" w:hAnsi="Arial" w:cs="Arial"/>
                <w:b/>
                <w:bCs/>
              </w:rPr>
            </w:pPr>
          </w:p>
        </w:tc>
      </w:tr>
      <w:tr w:rsidR="00914890" w:rsidRPr="005C68CD" w:rsidTr="00914890">
        <w:trPr>
          <w:trHeight w:val="566"/>
        </w:trPr>
        <w:tc>
          <w:tcPr>
            <w:tcW w:w="3014" w:type="dxa"/>
          </w:tcPr>
          <w:p w:rsidR="00914890" w:rsidRPr="005C68CD" w:rsidRDefault="00914890" w:rsidP="003C118F">
            <w:pPr>
              <w:autoSpaceDE w:val="0"/>
              <w:autoSpaceDN w:val="0"/>
              <w:adjustRightInd w:val="0"/>
              <w:spacing w:after="0" w:line="240" w:lineRule="auto"/>
              <w:rPr>
                <w:rFonts w:ascii="Arial" w:hAnsi="Arial" w:cs="Arial"/>
              </w:rPr>
            </w:pPr>
            <w:r w:rsidRPr="005C68CD">
              <w:rPr>
                <w:rFonts w:ascii="Arial" w:hAnsi="Arial" w:cs="Arial"/>
              </w:rPr>
              <w:t xml:space="preserve">Number of HCA sites submitted for planning permission </w:t>
            </w:r>
            <w:r>
              <w:rPr>
                <w:rFonts w:ascii="Arial" w:hAnsi="Arial" w:cs="Arial"/>
              </w:rPr>
              <w:t>**</w:t>
            </w:r>
          </w:p>
        </w:tc>
        <w:tc>
          <w:tcPr>
            <w:tcW w:w="992"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1</w:t>
            </w:r>
          </w:p>
        </w:tc>
        <w:tc>
          <w:tcPr>
            <w:tcW w:w="993"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1</w:t>
            </w:r>
          </w:p>
        </w:tc>
        <w:tc>
          <w:tcPr>
            <w:tcW w:w="1134"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0</w:t>
            </w:r>
          </w:p>
        </w:tc>
        <w:tc>
          <w:tcPr>
            <w:tcW w:w="1417"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8</w:t>
            </w:r>
          </w:p>
          <w:p w:rsidR="00914890" w:rsidRPr="005C68CD" w:rsidRDefault="00914890" w:rsidP="003C118F">
            <w:pPr>
              <w:autoSpaceDE w:val="0"/>
              <w:autoSpaceDN w:val="0"/>
              <w:adjustRightInd w:val="0"/>
              <w:spacing w:after="0" w:line="240" w:lineRule="auto"/>
              <w:jc w:val="center"/>
              <w:rPr>
                <w:rFonts w:ascii="Arial" w:hAnsi="Arial" w:cs="Arial"/>
              </w:rPr>
            </w:pPr>
          </w:p>
        </w:tc>
        <w:tc>
          <w:tcPr>
            <w:tcW w:w="1460"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-1</w:t>
            </w:r>
          </w:p>
        </w:tc>
      </w:tr>
      <w:tr w:rsidR="00914890" w:rsidRPr="005C68CD" w:rsidTr="00914890">
        <w:trPr>
          <w:trHeight w:val="989"/>
        </w:trPr>
        <w:tc>
          <w:tcPr>
            <w:tcW w:w="3014" w:type="dxa"/>
          </w:tcPr>
          <w:p w:rsidR="00914890" w:rsidRPr="005C68CD" w:rsidRDefault="00914890" w:rsidP="003C118F">
            <w:pPr>
              <w:autoSpaceDE w:val="0"/>
              <w:autoSpaceDN w:val="0"/>
              <w:adjustRightInd w:val="0"/>
              <w:spacing w:after="0" w:line="240" w:lineRule="auto"/>
              <w:rPr>
                <w:rFonts w:ascii="Arial" w:hAnsi="Arial" w:cs="Arial"/>
              </w:rPr>
            </w:pPr>
            <w:r w:rsidRPr="005C68CD">
              <w:rPr>
                <w:rFonts w:ascii="Arial" w:hAnsi="Arial" w:cs="Arial"/>
              </w:rPr>
              <w:t xml:space="preserve">Number of HCA sites granted  planning permission </w:t>
            </w:r>
            <w:r>
              <w:rPr>
                <w:rFonts w:ascii="Arial" w:hAnsi="Arial" w:cs="Arial"/>
              </w:rPr>
              <w:t>**</w:t>
            </w:r>
          </w:p>
        </w:tc>
        <w:tc>
          <w:tcPr>
            <w:tcW w:w="992"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1*</w:t>
            </w:r>
          </w:p>
        </w:tc>
        <w:tc>
          <w:tcPr>
            <w:tcW w:w="993"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0</w:t>
            </w:r>
          </w:p>
        </w:tc>
        <w:tc>
          <w:tcPr>
            <w:tcW w:w="1134"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-1</w:t>
            </w:r>
          </w:p>
        </w:tc>
        <w:tc>
          <w:tcPr>
            <w:tcW w:w="1417"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10</w:t>
            </w:r>
          </w:p>
        </w:tc>
        <w:tc>
          <w:tcPr>
            <w:tcW w:w="1460"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-3</w:t>
            </w:r>
          </w:p>
        </w:tc>
      </w:tr>
      <w:tr w:rsidR="00914890" w:rsidRPr="005C68CD" w:rsidTr="00914890">
        <w:trPr>
          <w:trHeight w:val="842"/>
        </w:trPr>
        <w:tc>
          <w:tcPr>
            <w:tcW w:w="3014" w:type="dxa"/>
          </w:tcPr>
          <w:p w:rsidR="00914890" w:rsidRPr="005C68CD" w:rsidRDefault="00914890" w:rsidP="003C118F">
            <w:pPr>
              <w:autoSpaceDE w:val="0"/>
              <w:autoSpaceDN w:val="0"/>
              <w:adjustRightInd w:val="0"/>
              <w:spacing w:after="0" w:line="240" w:lineRule="auto"/>
              <w:rPr>
                <w:rFonts w:ascii="Arial" w:hAnsi="Arial" w:cs="Arial"/>
              </w:rPr>
            </w:pPr>
            <w:r w:rsidRPr="005C68CD">
              <w:rPr>
                <w:rFonts w:ascii="Arial" w:hAnsi="Arial" w:cs="Arial"/>
              </w:rPr>
              <w:t xml:space="preserve">Number of HCA sites where construction is actively taking place </w:t>
            </w:r>
          </w:p>
        </w:tc>
        <w:tc>
          <w:tcPr>
            <w:tcW w:w="992"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7</w:t>
            </w:r>
          </w:p>
        </w:tc>
        <w:tc>
          <w:tcPr>
            <w:tcW w:w="993"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6</w:t>
            </w:r>
          </w:p>
        </w:tc>
        <w:tc>
          <w:tcPr>
            <w:tcW w:w="1134"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-1</w:t>
            </w:r>
          </w:p>
        </w:tc>
        <w:tc>
          <w:tcPr>
            <w:tcW w:w="1417"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6</w:t>
            </w:r>
          </w:p>
        </w:tc>
        <w:tc>
          <w:tcPr>
            <w:tcW w:w="1460"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-1</w:t>
            </w:r>
          </w:p>
        </w:tc>
      </w:tr>
      <w:tr w:rsidR="00914890" w:rsidRPr="005C68CD" w:rsidTr="00914890">
        <w:trPr>
          <w:trHeight w:val="1204"/>
        </w:trPr>
        <w:tc>
          <w:tcPr>
            <w:tcW w:w="3014" w:type="dxa"/>
          </w:tcPr>
          <w:p w:rsidR="00914890" w:rsidRPr="005C68CD" w:rsidRDefault="00914890" w:rsidP="003C118F">
            <w:pPr>
              <w:autoSpaceDE w:val="0"/>
              <w:autoSpaceDN w:val="0"/>
              <w:adjustRightInd w:val="0"/>
              <w:spacing w:after="0" w:line="240" w:lineRule="auto"/>
              <w:rPr>
                <w:rFonts w:ascii="Arial" w:hAnsi="Arial" w:cs="Arial"/>
              </w:rPr>
            </w:pPr>
            <w:r w:rsidRPr="005C68CD">
              <w:rPr>
                <w:rFonts w:ascii="Arial" w:hAnsi="Arial" w:cs="Arial"/>
              </w:rPr>
              <w:t xml:space="preserve">Total number of housing completions on HCA sites </w:t>
            </w:r>
          </w:p>
        </w:tc>
        <w:tc>
          <w:tcPr>
            <w:tcW w:w="992"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85</w:t>
            </w:r>
          </w:p>
        </w:tc>
        <w:tc>
          <w:tcPr>
            <w:tcW w:w="993"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83</w:t>
            </w:r>
          </w:p>
        </w:tc>
        <w:tc>
          <w:tcPr>
            <w:tcW w:w="1134"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-2</w:t>
            </w:r>
          </w:p>
        </w:tc>
        <w:tc>
          <w:tcPr>
            <w:tcW w:w="1417"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297</w:t>
            </w:r>
          </w:p>
        </w:tc>
        <w:tc>
          <w:tcPr>
            <w:tcW w:w="1460" w:type="dxa"/>
          </w:tcPr>
          <w:p w:rsidR="00914890" w:rsidRPr="005C68CD" w:rsidRDefault="00914890" w:rsidP="003C118F">
            <w:pPr>
              <w:autoSpaceDE w:val="0"/>
              <w:autoSpaceDN w:val="0"/>
              <w:adjustRightInd w:val="0"/>
              <w:spacing w:after="0" w:line="240" w:lineRule="auto"/>
              <w:jc w:val="center"/>
              <w:rPr>
                <w:rFonts w:ascii="Arial" w:hAnsi="Arial" w:cs="Arial"/>
              </w:rPr>
            </w:pPr>
            <w:r w:rsidRPr="005C68CD">
              <w:rPr>
                <w:rFonts w:ascii="Arial" w:hAnsi="Arial" w:cs="Arial"/>
              </w:rPr>
              <w:t>+21</w:t>
            </w:r>
          </w:p>
        </w:tc>
      </w:tr>
    </w:tbl>
    <w:p w:rsidR="00914890" w:rsidRPr="005C68CD" w:rsidRDefault="00914890" w:rsidP="003C118F">
      <w:pPr>
        <w:spacing w:after="0" w:line="240" w:lineRule="auto"/>
        <w:rPr>
          <w:rFonts w:ascii="Arial" w:hAnsi="Arial" w:cs="Arial"/>
          <w:sz w:val="20"/>
          <w:szCs w:val="20"/>
        </w:rPr>
      </w:pPr>
      <w:r w:rsidRPr="005C68CD">
        <w:rPr>
          <w:rFonts w:ascii="Arial" w:hAnsi="Arial" w:cs="Arial"/>
          <w:sz w:val="20"/>
          <w:szCs w:val="20"/>
        </w:rPr>
        <w:t xml:space="preserve">Source:  HCA </w:t>
      </w:r>
    </w:p>
    <w:p w:rsidR="00914890" w:rsidRPr="005C68CD" w:rsidRDefault="00914890" w:rsidP="003C118F">
      <w:pPr>
        <w:spacing w:after="0" w:line="240" w:lineRule="auto"/>
        <w:rPr>
          <w:rFonts w:ascii="Arial" w:hAnsi="Arial" w:cs="Arial"/>
          <w:sz w:val="20"/>
          <w:szCs w:val="20"/>
        </w:rPr>
      </w:pPr>
      <w:r w:rsidRPr="005C68CD">
        <w:rPr>
          <w:rFonts w:ascii="Arial" w:hAnsi="Arial" w:cs="Arial"/>
          <w:sz w:val="20"/>
          <w:szCs w:val="20"/>
        </w:rPr>
        <w:t>(*) Cottam Hall Ph3</w:t>
      </w:r>
      <w:r>
        <w:rPr>
          <w:rFonts w:ascii="Arial" w:hAnsi="Arial" w:cs="Arial"/>
          <w:sz w:val="20"/>
          <w:szCs w:val="20"/>
        </w:rPr>
        <w:t xml:space="preserve"> (**) includes reserved matters</w:t>
      </w:r>
    </w:p>
    <w:p w:rsidR="00914890" w:rsidRPr="005C68CD" w:rsidRDefault="00914890" w:rsidP="003C118F">
      <w:pPr>
        <w:spacing w:after="0" w:line="240" w:lineRule="auto"/>
        <w:rPr>
          <w:rFonts w:ascii="Arial" w:hAnsi="Arial" w:cs="Arial"/>
          <w:sz w:val="20"/>
          <w:szCs w:val="20"/>
        </w:rPr>
      </w:pPr>
    </w:p>
    <w:p w:rsidR="00914890" w:rsidRPr="005C68CD" w:rsidRDefault="00914890" w:rsidP="003C118F">
      <w:pPr>
        <w:spacing w:after="0" w:line="240" w:lineRule="auto"/>
        <w:rPr>
          <w:rFonts w:ascii="Arial" w:hAnsi="Arial" w:cs="Arial"/>
          <w:sz w:val="24"/>
          <w:szCs w:val="24"/>
        </w:rPr>
      </w:pPr>
      <w:r w:rsidRPr="005C68CD">
        <w:rPr>
          <w:rFonts w:ascii="Arial" w:hAnsi="Arial" w:cs="Arial"/>
          <w:sz w:val="24"/>
          <w:szCs w:val="24"/>
        </w:rPr>
        <w:t xml:space="preserve">Particular progress has been made on the following HCA </w:t>
      </w:r>
      <w:r>
        <w:rPr>
          <w:rFonts w:ascii="Arial" w:hAnsi="Arial" w:cs="Arial"/>
          <w:sz w:val="24"/>
          <w:szCs w:val="24"/>
        </w:rPr>
        <w:t xml:space="preserve">sites </w:t>
      </w:r>
      <w:r w:rsidRPr="005C68CD">
        <w:rPr>
          <w:rFonts w:ascii="Arial" w:hAnsi="Arial" w:cs="Arial"/>
          <w:sz w:val="24"/>
          <w:szCs w:val="24"/>
        </w:rPr>
        <w:t>in the last six months.</w:t>
      </w:r>
    </w:p>
    <w:p w:rsidR="00914890" w:rsidRPr="005C68CD" w:rsidRDefault="00914890" w:rsidP="003C118F">
      <w:pPr>
        <w:spacing w:after="0" w:line="240" w:lineRule="auto"/>
        <w:rPr>
          <w:rFonts w:ascii="Arial" w:hAnsi="Arial" w:cs="Arial"/>
          <w:sz w:val="24"/>
          <w:szCs w:val="24"/>
        </w:rPr>
      </w:pPr>
      <w:r w:rsidRPr="005C68CD">
        <w:rPr>
          <w:rFonts w:ascii="Arial" w:hAnsi="Arial" w:cs="Arial"/>
          <w:b/>
          <w:sz w:val="24"/>
          <w:szCs w:val="24"/>
        </w:rPr>
        <w:t xml:space="preserve">Land at </w:t>
      </w:r>
      <w:proofErr w:type="spellStart"/>
      <w:r w:rsidRPr="005C68CD">
        <w:rPr>
          <w:rFonts w:ascii="Arial" w:hAnsi="Arial" w:cs="Arial"/>
          <w:b/>
          <w:sz w:val="24"/>
          <w:szCs w:val="24"/>
        </w:rPr>
        <w:t>Eastway</w:t>
      </w:r>
      <w:proofErr w:type="spellEnd"/>
      <w:r w:rsidRPr="005C68CD">
        <w:rPr>
          <w:rFonts w:ascii="Arial" w:hAnsi="Arial" w:cs="Arial"/>
          <w:sz w:val="24"/>
          <w:szCs w:val="24"/>
        </w:rPr>
        <w:t xml:space="preserve"> (commercial was sold to HBS Healthcare Ltd in May on a conditional basis. A planning application was submitted in September.</w:t>
      </w:r>
    </w:p>
    <w:p w:rsidR="00914890" w:rsidRDefault="00914890" w:rsidP="003C118F">
      <w:pPr>
        <w:spacing w:after="0" w:line="240" w:lineRule="auto"/>
        <w:rPr>
          <w:rFonts w:ascii="Arial" w:hAnsi="Arial" w:cs="Arial"/>
          <w:sz w:val="24"/>
          <w:szCs w:val="24"/>
        </w:rPr>
      </w:pPr>
      <w:r w:rsidRPr="005C68CD">
        <w:rPr>
          <w:rFonts w:ascii="Arial" w:hAnsi="Arial" w:cs="Arial"/>
          <w:b/>
          <w:sz w:val="24"/>
          <w:szCs w:val="24"/>
        </w:rPr>
        <w:lastRenderedPageBreak/>
        <w:t>Walton Park Link Road</w:t>
      </w:r>
      <w:r w:rsidRPr="005C68CD">
        <w:rPr>
          <w:rFonts w:ascii="Arial" w:hAnsi="Arial" w:cs="Arial"/>
          <w:sz w:val="24"/>
          <w:szCs w:val="24"/>
        </w:rPr>
        <w:t xml:space="preserve"> – The deal between Morris Homes and National Grid </w:t>
      </w:r>
      <w:r>
        <w:rPr>
          <w:rFonts w:ascii="Arial" w:hAnsi="Arial" w:cs="Arial"/>
          <w:sz w:val="24"/>
          <w:szCs w:val="24"/>
        </w:rPr>
        <w:t xml:space="preserve">is </w:t>
      </w:r>
      <w:r w:rsidRPr="005C68CD">
        <w:rPr>
          <w:rFonts w:ascii="Arial" w:hAnsi="Arial" w:cs="Arial"/>
          <w:sz w:val="24"/>
          <w:szCs w:val="24"/>
        </w:rPr>
        <w:t>now unconditional. Morris Homes started on site in September.</w:t>
      </w:r>
    </w:p>
    <w:p w:rsidR="003C118F" w:rsidRPr="005C68CD" w:rsidRDefault="003C118F" w:rsidP="003C118F">
      <w:pPr>
        <w:spacing w:after="0" w:line="240" w:lineRule="auto"/>
        <w:rPr>
          <w:rFonts w:ascii="Arial" w:hAnsi="Arial" w:cs="Arial"/>
          <w:sz w:val="24"/>
          <w:szCs w:val="24"/>
        </w:rPr>
      </w:pPr>
    </w:p>
    <w:p w:rsidR="00914890" w:rsidRDefault="00914890" w:rsidP="003C118F">
      <w:pPr>
        <w:spacing w:after="0" w:line="240" w:lineRule="auto"/>
        <w:rPr>
          <w:rFonts w:ascii="Arial" w:hAnsi="Arial" w:cs="Arial"/>
          <w:sz w:val="24"/>
          <w:szCs w:val="24"/>
        </w:rPr>
      </w:pPr>
      <w:proofErr w:type="spellStart"/>
      <w:r w:rsidRPr="005C68CD">
        <w:rPr>
          <w:rFonts w:ascii="Arial" w:hAnsi="Arial" w:cs="Arial"/>
          <w:b/>
          <w:sz w:val="24"/>
          <w:szCs w:val="24"/>
        </w:rPr>
        <w:t>Altcar</w:t>
      </w:r>
      <w:proofErr w:type="spellEnd"/>
      <w:r w:rsidRPr="005C68CD">
        <w:rPr>
          <w:rFonts w:ascii="Arial" w:hAnsi="Arial" w:cs="Arial"/>
          <w:b/>
          <w:sz w:val="24"/>
          <w:szCs w:val="24"/>
        </w:rPr>
        <w:t xml:space="preserve"> Lane</w:t>
      </w:r>
      <w:r w:rsidRPr="005C68CD">
        <w:rPr>
          <w:rFonts w:ascii="Arial" w:hAnsi="Arial" w:cs="Arial"/>
          <w:sz w:val="24"/>
          <w:szCs w:val="24"/>
        </w:rPr>
        <w:t xml:space="preserve"> – </w:t>
      </w:r>
      <w:r>
        <w:rPr>
          <w:rFonts w:ascii="Arial" w:hAnsi="Arial" w:cs="Arial"/>
          <w:sz w:val="24"/>
          <w:szCs w:val="24"/>
        </w:rPr>
        <w:t xml:space="preserve">A </w:t>
      </w:r>
      <w:r w:rsidRPr="005C68CD">
        <w:rPr>
          <w:rFonts w:ascii="Arial" w:hAnsi="Arial" w:cs="Arial"/>
          <w:sz w:val="24"/>
          <w:szCs w:val="24"/>
        </w:rPr>
        <w:t>good response from the marketing exercise with 11 EOIs being received, 6 responses to the sifting briefs and 4 shortlisted parties.</w:t>
      </w:r>
    </w:p>
    <w:p w:rsidR="003C118F" w:rsidRPr="005C68CD" w:rsidRDefault="003C118F" w:rsidP="003C118F">
      <w:pPr>
        <w:spacing w:after="0" w:line="240" w:lineRule="auto"/>
        <w:rPr>
          <w:rFonts w:ascii="Arial" w:hAnsi="Arial" w:cs="Arial"/>
          <w:sz w:val="24"/>
          <w:szCs w:val="24"/>
        </w:rPr>
      </w:pPr>
    </w:p>
    <w:p w:rsidR="00914890" w:rsidRDefault="00914890" w:rsidP="003C118F">
      <w:pPr>
        <w:spacing w:after="0" w:line="240" w:lineRule="auto"/>
        <w:rPr>
          <w:rFonts w:ascii="Arial" w:hAnsi="Arial" w:cs="Arial"/>
          <w:b/>
          <w:sz w:val="24"/>
          <w:szCs w:val="24"/>
        </w:rPr>
      </w:pPr>
      <w:r w:rsidRPr="005C68CD">
        <w:rPr>
          <w:rFonts w:ascii="Arial" w:hAnsi="Arial" w:cs="Arial"/>
          <w:b/>
          <w:sz w:val="24"/>
          <w:szCs w:val="24"/>
        </w:rPr>
        <w:t xml:space="preserve">Commercial </w:t>
      </w:r>
      <w:proofErr w:type="spellStart"/>
      <w:r w:rsidRPr="005C68CD">
        <w:rPr>
          <w:rFonts w:ascii="Arial" w:hAnsi="Arial" w:cs="Arial"/>
          <w:b/>
          <w:sz w:val="24"/>
          <w:szCs w:val="24"/>
        </w:rPr>
        <w:t>Floorspace</w:t>
      </w:r>
      <w:proofErr w:type="spellEnd"/>
      <w:r w:rsidRPr="005C68CD">
        <w:rPr>
          <w:rFonts w:ascii="Arial" w:hAnsi="Arial" w:cs="Arial"/>
          <w:b/>
          <w:sz w:val="24"/>
          <w:szCs w:val="24"/>
        </w:rPr>
        <w:t xml:space="preserve"> </w:t>
      </w:r>
      <w:proofErr w:type="gramStart"/>
      <w:r w:rsidRPr="005C68CD">
        <w:rPr>
          <w:rFonts w:ascii="Arial" w:hAnsi="Arial" w:cs="Arial"/>
          <w:b/>
          <w:sz w:val="24"/>
          <w:szCs w:val="24"/>
        </w:rPr>
        <w:t xml:space="preserve">Outputs </w:t>
      </w:r>
      <w:r w:rsidR="003C118F">
        <w:rPr>
          <w:rFonts w:ascii="Arial" w:hAnsi="Arial" w:cs="Arial"/>
          <w:b/>
          <w:sz w:val="24"/>
          <w:szCs w:val="24"/>
        </w:rPr>
        <w:t xml:space="preserve"> -</w:t>
      </w:r>
      <w:proofErr w:type="gramEnd"/>
      <w:r w:rsidR="003C118F">
        <w:rPr>
          <w:rFonts w:ascii="Arial" w:hAnsi="Arial" w:cs="Arial"/>
          <w:b/>
          <w:sz w:val="24"/>
          <w:szCs w:val="24"/>
        </w:rPr>
        <w:t xml:space="preserve"> see A</w:t>
      </w:r>
      <w:r>
        <w:rPr>
          <w:rFonts w:ascii="Arial" w:hAnsi="Arial" w:cs="Arial"/>
          <w:b/>
          <w:sz w:val="24"/>
          <w:szCs w:val="24"/>
        </w:rPr>
        <w:t>ppendices 1 and 2</w:t>
      </w:r>
    </w:p>
    <w:p w:rsidR="003C118F" w:rsidRPr="005C68CD" w:rsidRDefault="003C118F" w:rsidP="003C118F">
      <w:pPr>
        <w:spacing w:after="0" w:line="240" w:lineRule="auto"/>
        <w:rPr>
          <w:rFonts w:ascii="Arial" w:hAnsi="Arial" w:cs="Arial"/>
          <w:b/>
          <w:sz w:val="24"/>
          <w:szCs w:val="24"/>
        </w:rPr>
      </w:pPr>
    </w:p>
    <w:p w:rsidR="00914890" w:rsidRPr="005C68CD" w:rsidRDefault="00914890" w:rsidP="003C118F">
      <w:pPr>
        <w:spacing w:after="0" w:line="240" w:lineRule="auto"/>
        <w:rPr>
          <w:rFonts w:ascii="Arial" w:hAnsi="Arial" w:cs="Arial"/>
          <w:sz w:val="24"/>
          <w:szCs w:val="24"/>
        </w:rPr>
      </w:pPr>
      <w:r w:rsidRPr="005C68CD">
        <w:rPr>
          <w:rFonts w:ascii="Arial" w:hAnsi="Arial" w:cs="Arial"/>
          <w:sz w:val="24"/>
          <w:szCs w:val="24"/>
        </w:rPr>
        <w:t xml:space="preserve">Overall in the first 6 months of year 4, there has been a strong performance of completions against targets with </w:t>
      </w:r>
      <w:r w:rsidRPr="00A33DBF">
        <w:rPr>
          <w:rFonts w:ascii="Arial" w:hAnsi="Arial" w:cs="Arial"/>
          <w:b/>
          <w:sz w:val="24"/>
          <w:szCs w:val="24"/>
        </w:rPr>
        <w:t xml:space="preserve">2,601 </w:t>
      </w:r>
      <w:proofErr w:type="spellStart"/>
      <w:r w:rsidRPr="00A33DBF">
        <w:rPr>
          <w:rFonts w:ascii="Arial" w:hAnsi="Arial" w:cs="Arial"/>
          <w:b/>
          <w:sz w:val="24"/>
          <w:szCs w:val="24"/>
        </w:rPr>
        <w:t>sq</w:t>
      </w:r>
      <w:proofErr w:type="spellEnd"/>
      <w:r w:rsidRPr="00A33DBF">
        <w:rPr>
          <w:rFonts w:ascii="Arial" w:hAnsi="Arial" w:cs="Arial"/>
          <w:b/>
          <w:sz w:val="24"/>
          <w:szCs w:val="24"/>
        </w:rPr>
        <w:t xml:space="preserve"> m</w:t>
      </w:r>
      <w:r w:rsidRPr="005C68CD">
        <w:rPr>
          <w:rFonts w:ascii="Arial" w:hAnsi="Arial" w:cs="Arial"/>
          <w:sz w:val="24"/>
          <w:szCs w:val="24"/>
        </w:rPr>
        <w:t xml:space="preserve"> of commercial </w:t>
      </w:r>
      <w:proofErr w:type="spellStart"/>
      <w:r w:rsidRPr="005C68CD">
        <w:rPr>
          <w:rFonts w:ascii="Arial" w:hAnsi="Arial" w:cs="Arial"/>
          <w:sz w:val="24"/>
          <w:szCs w:val="24"/>
        </w:rPr>
        <w:t>floorspace</w:t>
      </w:r>
      <w:proofErr w:type="spellEnd"/>
      <w:r w:rsidRPr="005C68CD">
        <w:rPr>
          <w:rFonts w:ascii="Arial" w:hAnsi="Arial" w:cs="Arial"/>
          <w:sz w:val="24"/>
          <w:szCs w:val="24"/>
        </w:rPr>
        <w:t xml:space="preserve"> completed compared with the target of </w:t>
      </w:r>
      <w:r w:rsidRPr="00A33DBF">
        <w:rPr>
          <w:rFonts w:ascii="Arial" w:hAnsi="Arial" w:cs="Arial"/>
          <w:b/>
          <w:sz w:val="24"/>
          <w:szCs w:val="24"/>
        </w:rPr>
        <w:t xml:space="preserve">418 </w:t>
      </w:r>
      <w:proofErr w:type="spellStart"/>
      <w:r w:rsidRPr="00A33DBF">
        <w:rPr>
          <w:rFonts w:ascii="Arial" w:hAnsi="Arial" w:cs="Arial"/>
          <w:b/>
          <w:sz w:val="24"/>
          <w:szCs w:val="24"/>
        </w:rPr>
        <w:t>sq</w:t>
      </w:r>
      <w:proofErr w:type="spellEnd"/>
      <w:r w:rsidRPr="00A33DBF">
        <w:rPr>
          <w:rFonts w:ascii="Arial" w:hAnsi="Arial" w:cs="Arial"/>
          <w:b/>
          <w:sz w:val="24"/>
          <w:szCs w:val="24"/>
        </w:rPr>
        <w:t xml:space="preserve"> m</w:t>
      </w:r>
      <w:r w:rsidRPr="005C68CD">
        <w:rPr>
          <w:rFonts w:ascii="Arial" w:hAnsi="Arial" w:cs="Arial"/>
          <w:sz w:val="24"/>
          <w:szCs w:val="24"/>
        </w:rPr>
        <w:t>.  This is due to the build out of the next phase of industrial units at Red Scar, Preston as a result of strong first phase lettings.</w:t>
      </w:r>
    </w:p>
    <w:p w:rsidR="00914890" w:rsidRDefault="00914890" w:rsidP="003C118F">
      <w:pPr>
        <w:spacing w:after="0" w:line="240" w:lineRule="auto"/>
        <w:rPr>
          <w:rFonts w:ascii="Arial" w:hAnsi="Arial" w:cs="Arial"/>
          <w:sz w:val="24"/>
          <w:szCs w:val="24"/>
        </w:rPr>
      </w:pPr>
      <w:r w:rsidRPr="005C68CD">
        <w:rPr>
          <w:rFonts w:ascii="Arial" w:hAnsi="Arial" w:cs="Arial"/>
          <w:sz w:val="24"/>
          <w:szCs w:val="24"/>
        </w:rPr>
        <w:t xml:space="preserve">Cumulatively, completions are also on target against trajectories with </w:t>
      </w:r>
      <w:r w:rsidRPr="00A33DBF">
        <w:rPr>
          <w:rFonts w:ascii="Arial" w:hAnsi="Arial" w:cs="Arial"/>
          <w:b/>
          <w:sz w:val="24"/>
          <w:szCs w:val="24"/>
        </w:rPr>
        <w:t xml:space="preserve">48,558 </w:t>
      </w:r>
      <w:proofErr w:type="spellStart"/>
      <w:r w:rsidRPr="00A33DBF">
        <w:rPr>
          <w:rFonts w:ascii="Arial" w:hAnsi="Arial" w:cs="Arial"/>
          <w:b/>
          <w:sz w:val="24"/>
          <w:szCs w:val="24"/>
        </w:rPr>
        <w:t>sq</w:t>
      </w:r>
      <w:proofErr w:type="spellEnd"/>
      <w:r w:rsidRPr="00A33DBF">
        <w:rPr>
          <w:rFonts w:ascii="Arial" w:hAnsi="Arial" w:cs="Arial"/>
          <w:b/>
          <w:sz w:val="24"/>
          <w:szCs w:val="24"/>
        </w:rPr>
        <w:t xml:space="preserve"> m</w:t>
      </w:r>
      <w:r w:rsidRPr="005C68CD">
        <w:rPr>
          <w:rFonts w:ascii="Arial" w:hAnsi="Arial" w:cs="Arial"/>
          <w:sz w:val="24"/>
          <w:szCs w:val="24"/>
        </w:rPr>
        <w:t xml:space="preserve"> of commercial </w:t>
      </w:r>
      <w:proofErr w:type="spellStart"/>
      <w:r w:rsidRPr="005C68CD">
        <w:rPr>
          <w:rFonts w:ascii="Arial" w:hAnsi="Arial" w:cs="Arial"/>
          <w:sz w:val="24"/>
          <w:szCs w:val="24"/>
        </w:rPr>
        <w:t>floorspace</w:t>
      </w:r>
      <w:proofErr w:type="spellEnd"/>
      <w:r w:rsidRPr="005C68CD">
        <w:rPr>
          <w:rFonts w:ascii="Arial" w:hAnsi="Arial" w:cs="Arial"/>
          <w:sz w:val="24"/>
          <w:szCs w:val="24"/>
        </w:rPr>
        <w:t xml:space="preserve"> completions compared with the target of</w:t>
      </w:r>
      <w:r w:rsidRPr="005C68CD">
        <w:rPr>
          <w:rFonts w:ascii="Arial" w:hAnsi="Arial" w:cs="Arial"/>
          <w:b/>
          <w:sz w:val="24"/>
          <w:szCs w:val="24"/>
        </w:rPr>
        <w:t xml:space="preserve"> </w:t>
      </w:r>
      <w:r w:rsidRPr="00A33DBF">
        <w:rPr>
          <w:rFonts w:ascii="Arial" w:hAnsi="Arial" w:cs="Arial"/>
          <w:b/>
          <w:sz w:val="24"/>
          <w:szCs w:val="24"/>
        </w:rPr>
        <w:t xml:space="preserve">35,756 </w:t>
      </w:r>
      <w:proofErr w:type="spellStart"/>
      <w:r w:rsidRPr="00A33DBF">
        <w:rPr>
          <w:rFonts w:ascii="Arial" w:hAnsi="Arial" w:cs="Arial"/>
          <w:b/>
          <w:sz w:val="24"/>
          <w:szCs w:val="24"/>
        </w:rPr>
        <w:t>sq</w:t>
      </w:r>
      <w:proofErr w:type="spellEnd"/>
      <w:r w:rsidRPr="00A33DBF">
        <w:rPr>
          <w:rFonts w:ascii="Arial" w:hAnsi="Arial" w:cs="Arial"/>
          <w:b/>
          <w:sz w:val="24"/>
          <w:szCs w:val="24"/>
        </w:rPr>
        <w:t xml:space="preserve"> m</w:t>
      </w:r>
      <w:r w:rsidRPr="005C68CD">
        <w:rPr>
          <w:rFonts w:ascii="Arial" w:hAnsi="Arial" w:cs="Arial"/>
          <w:sz w:val="24"/>
          <w:szCs w:val="24"/>
        </w:rPr>
        <w:t>, buoyed by speculative build at South Rings and Preston East as market demand for smal</w:t>
      </w:r>
      <w:r w:rsidR="003C118F">
        <w:rPr>
          <w:rFonts w:ascii="Arial" w:hAnsi="Arial" w:cs="Arial"/>
          <w:sz w:val="24"/>
          <w:szCs w:val="24"/>
        </w:rPr>
        <w:t>ler units remains strong.</w:t>
      </w:r>
    </w:p>
    <w:p w:rsidR="003C118F" w:rsidRPr="005C68CD" w:rsidRDefault="003C118F" w:rsidP="003C118F">
      <w:pPr>
        <w:spacing w:after="0" w:line="240" w:lineRule="auto"/>
        <w:rPr>
          <w:rFonts w:ascii="Arial" w:hAnsi="Arial" w:cs="Arial"/>
          <w:sz w:val="24"/>
          <w:szCs w:val="24"/>
        </w:rPr>
      </w:pPr>
    </w:p>
    <w:p w:rsidR="00914890" w:rsidRDefault="00914890" w:rsidP="003C118F">
      <w:pPr>
        <w:spacing w:after="0" w:line="240" w:lineRule="auto"/>
        <w:rPr>
          <w:rFonts w:ascii="Arial" w:hAnsi="Arial" w:cs="Arial"/>
          <w:sz w:val="24"/>
          <w:szCs w:val="24"/>
        </w:rPr>
      </w:pPr>
      <w:r w:rsidRPr="005C68CD">
        <w:rPr>
          <w:rFonts w:ascii="Arial" w:hAnsi="Arial" w:cs="Arial"/>
          <w:sz w:val="24"/>
          <w:szCs w:val="24"/>
        </w:rPr>
        <w:t xml:space="preserve">With regard to planning submissions in the last six months, </w:t>
      </w:r>
      <w:r w:rsidRPr="00A33DBF">
        <w:rPr>
          <w:rFonts w:ascii="Arial" w:hAnsi="Arial" w:cs="Arial"/>
          <w:b/>
          <w:sz w:val="24"/>
          <w:szCs w:val="24"/>
        </w:rPr>
        <w:t xml:space="preserve">9,116 </w:t>
      </w:r>
      <w:proofErr w:type="spellStart"/>
      <w:r w:rsidRPr="00A33DBF">
        <w:rPr>
          <w:rFonts w:ascii="Arial" w:hAnsi="Arial" w:cs="Arial"/>
          <w:b/>
          <w:sz w:val="24"/>
          <w:szCs w:val="24"/>
        </w:rPr>
        <w:t>sq</w:t>
      </w:r>
      <w:proofErr w:type="spellEnd"/>
      <w:r w:rsidRPr="005C68CD">
        <w:rPr>
          <w:rFonts w:ascii="Arial" w:hAnsi="Arial" w:cs="Arial"/>
          <w:sz w:val="24"/>
          <w:szCs w:val="24"/>
        </w:rPr>
        <w:t xml:space="preserve"> m of commercial </w:t>
      </w:r>
      <w:proofErr w:type="spellStart"/>
      <w:r w:rsidRPr="005C68CD">
        <w:rPr>
          <w:rFonts w:ascii="Arial" w:hAnsi="Arial" w:cs="Arial"/>
          <w:sz w:val="24"/>
          <w:szCs w:val="24"/>
        </w:rPr>
        <w:t>floorspace</w:t>
      </w:r>
      <w:proofErr w:type="spellEnd"/>
      <w:r w:rsidRPr="005C68CD">
        <w:rPr>
          <w:rFonts w:ascii="Arial" w:hAnsi="Arial" w:cs="Arial"/>
          <w:sz w:val="24"/>
          <w:szCs w:val="24"/>
        </w:rPr>
        <w:t xml:space="preserve"> was </w:t>
      </w:r>
      <w:r w:rsidRPr="005C68CD">
        <w:rPr>
          <w:rFonts w:ascii="Arial" w:hAnsi="Arial" w:cs="Arial"/>
          <w:b/>
          <w:sz w:val="24"/>
          <w:szCs w:val="24"/>
        </w:rPr>
        <w:t>submitted</w:t>
      </w:r>
      <w:r w:rsidRPr="005C68CD">
        <w:rPr>
          <w:rFonts w:ascii="Arial" w:hAnsi="Arial" w:cs="Arial"/>
          <w:sz w:val="24"/>
          <w:szCs w:val="24"/>
        </w:rPr>
        <w:t xml:space="preserve"> for planning compared with the target of </w:t>
      </w:r>
      <w:r w:rsidRPr="00A33DBF">
        <w:rPr>
          <w:rFonts w:ascii="Arial" w:hAnsi="Arial" w:cs="Arial"/>
          <w:b/>
          <w:sz w:val="24"/>
          <w:szCs w:val="24"/>
        </w:rPr>
        <w:t xml:space="preserve">1,400 </w:t>
      </w:r>
      <w:proofErr w:type="spellStart"/>
      <w:r w:rsidRPr="00A33DBF">
        <w:rPr>
          <w:rFonts w:ascii="Arial" w:hAnsi="Arial" w:cs="Arial"/>
          <w:b/>
          <w:sz w:val="24"/>
          <w:szCs w:val="24"/>
        </w:rPr>
        <w:t>sq</w:t>
      </w:r>
      <w:proofErr w:type="spellEnd"/>
      <w:r w:rsidRPr="00A33DBF">
        <w:rPr>
          <w:rFonts w:ascii="Arial" w:hAnsi="Arial" w:cs="Arial"/>
          <w:b/>
          <w:sz w:val="24"/>
          <w:szCs w:val="24"/>
        </w:rPr>
        <w:t xml:space="preserve"> m</w:t>
      </w:r>
      <w:r w:rsidRPr="005C68CD">
        <w:rPr>
          <w:rFonts w:ascii="Arial" w:hAnsi="Arial" w:cs="Arial"/>
          <w:sz w:val="24"/>
          <w:szCs w:val="24"/>
        </w:rPr>
        <w:t xml:space="preserve"> and </w:t>
      </w:r>
      <w:r w:rsidRPr="00A33DBF">
        <w:rPr>
          <w:rFonts w:ascii="Arial" w:hAnsi="Arial" w:cs="Arial"/>
          <w:b/>
          <w:sz w:val="24"/>
          <w:szCs w:val="24"/>
        </w:rPr>
        <w:t xml:space="preserve">188,642 </w:t>
      </w:r>
      <w:proofErr w:type="spellStart"/>
      <w:r w:rsidRPr="00A33DBF">
        <w:rPr>
          <w:rFonts w:ascii="Arial" w:hAnsi="Arial" w:cs="Arial"/>
          <w:b/>
          <w:sz w:val="24"/>
          <w:szCs w:val="24"/>
        </w:rPr>
        <w:t>sq</w:t>
      </w:r>
      <w:proofErr w:type="spellEnd"/>
      <w:r w:rsidRPr="005C68CD">
        <w:rPr>
          <w:rFonts w:ascii="Arial" w:hAnsi="Arial" w:cs="Arial"/>
          <w:sz w:val="24"/>
          <w:szCs w:val="24"/>
        </w:rPr>
        <w:t xml:space="preserve"> m of commercial </w:t>
      </w:r>
      <w:proofErr w:type="spellStart"/>
      <w:r w:rsidRPr="005C68CD">
        <w:rPr>
          <w:rFonts w:ascii="Arial" w:hAnsi="Arial" w:cs="Arial"/>
          <w:sz w:val="24"/>
          <w:szCs w:val="24"/>
        </w:rPr>
        <w:t>floorspace</w:t>
      </w:r>
      <w:proofErr w:type="spellEnd"/>
      <w:r w:rsidRPr="005C68CD">
        <w:rPr>
          <w:rFonts w:ascii="Arial" w:hAnsi="Arial" w:cs="Arial"/>
          <w:sz w:val="24"/>
          <w:szCs w:val="24"/>
        </w:rPr>
        <w:t xml:space="preserve"> was </w:t>
      </w:r>
      <w:r w:rsidRPr="005C68CD">
        <w:rPr>
          <w:rFonts w:ascii="Arial" w:hAnsi="Arial" w:cs="Arial"/>
          <w:b/>
          <w:sz w:val="24"/>
          <w:szCs w:val="24"/>
        </w:rPr>
        <w:t>consented</w:t>
      </w:r>
      <w:r w:rsidRPr="005C68CD">
        <w:rPr>
          <w:rFonts w:ascii="Arial" w:hAnsi="Arial" w:cs="Arial"/>
          <w:sz w:val="24"/>
          <w:szCs w:val="24"/>
        </w:rPr>
        <w:t>,  meeting the 6 month target.</w:t>
      </w:r>
    </w:p>
    <w:p w:rsidR="003C118F" w:rsidRPr="005C68CD" w:rsidRDefault="003C118F" w:rsidP="003C118F">
      <w:pPr>
        <w:spacing w:after="0" w:line="240" w:lineRule="auto"/>
        <w:rPr>
          <w:rFonts w:ascii="Arial" w:hAnsi="Arial" w:cs="Arial"/>
          <w:sz w:val="24"/>
          <w:szCs w:val="24"/>
        </w:rPr>
      </w:pPr>
    </w:p>
    <w:p w:rsidR="00914890" w:rsidRDefault="00914890" w:rsidP="003C118F">
      <w:pPr>
        <w:spacing w:after="0" w:line="240" w:lineRule="auto"/>
        <w:rPr>
          <w:rFonts w:ascii="Arial" w:hAnsi="Arial" w:cs="Arial"/>
          <w:sz w:val="24"/>
          <w:szCs w:val="24"/>
        </w:rPr>
      </w:pPr>
      <w:r w:rsidRPr="005C68CD">
        <w:rPr>
          <w:rFonts w:ascii="Arial" w:hAnsi="Arial" w:cs="Arial"/>
          <w:sz w:val="24"/>
          <w:szCs w:val="24"/>
        </w:rPr>
        <w:t xml:space="preserve">Planning consents remain on track </w:t>
      </w:r>
      <w:r>
        <w:rPr>
          <w:rFonts w:ascii="Arial" w:hAnsi="Arial" w:cs="Arial"/>
          <w:sz w:val="24"/>
          <w:szCs w:val="24"/>
        </w:rPr>
        <w:t xml:space="preserve">for the period </w:t>
      </w:r>
      <w:r w:rsidRPr="005C68CD">
        <w:rPr>
          <w:rFonts w:ascii="Arial" w:hAnsi="Arial" w:cs="Arial"/>
          <w:sz w:val="24"/>
          <w:szCs w:val="24"/>
        </w:rPr>
        <w:t xml:space="preserve">with the approval of the </w:t>
      </w:r>
      <w:proofErr w:type="spellStart"/>
      <w:r w:rsidRPr="005C68CD">
        <w:rPr>
          <w:rFonts w:ascii="Arial" w:hAnsi="Arial" w:cs="Arial"/>
          <w:sz w:val="24"/>
          <w:szCs w:val="24"/>
        </w:rPr>
        <w:t>Cuerden</w:t>
      </w:r>
      <w:proofErr w:type="spellEnd"/>
      <w:r w:rsidRPr="005C68CD">
        <w:rPr>
          <w:rFonts w:ascii="Arial" w:hAnsi="Arial" w:cs="Arial"/>
          <w:sz w:val="24"/>
          <w:szCs w:val="24"/>
        </w:rPr>
        <w:t xml:space="preserve"> Strategic site and Preston East Sector D site. </w:t>
      </w:r>
      <w:r>
        <w:rPr>
          <w:rFonts w:ascii="Arial" w:hAnsi="Arial" w:cs="Arial"/>
          <w:sz w:val="24"/>
          <w:szCs w:val="24"/>
        </w:rPr>
        <w:t xml:space="preserve">The significant cumulative variance in relation to planning consents shown in the table below is as a result of milestones shifting backwards in relation to large sites in Preston East. </w:t>
      </w:r>
      <w:r w:rsidRPr="005C68CD">
        <w:rPr>
          <w:rFonts w:ascii="Arial" w:hAnsi="Arial" w:cs="Arial"/>
          <w:sz w:val="24"/>
          <w:szCs w:val="24"/>
        </w:rPr>
        <w:t xml:space="preserve">The uplift in </w:t>
      </w:r>
      <w:proofErr w:type="gramStart"/>
      <w:r w:rsidRPr="005C68CD">
        <w:rPr>
          <w:rFonts w:ascii="Arial" w:hAnsi="Arial" w:cs="Arial"/>
          <w:sz w:val="24"/>
          <w:szCs w:val="24"/>
        </w:rPr>
        <w:t>Planning</w:t>
      </w:r>
      <w:proofErr w:type="gramEnd"/>
      <w:r w:rsidRPr="005C68CD">
        <w:rPr>
          <w:rFonts w:ascii="Arial" w:hAnsi="Arial" w:cs="Arial"/>
          <w:sz w:val="24"/>
          <w:szCs w:val="24"/>
        </w:rPr>
        <w:t xml:space="preserve"> submissions were buoyed by the next phase of Queen's Retail Park, Horrocks coming forward earlier than anticipated. </w:t>
      </w:r>
    </w:p>
    <w:p w:rsidR="003C118F" w:rsidRPr="005C68CD" w:rsidRDefault="003C118F" w:rsidP="003C118F">
      <w:pPr>
        <w:spacing w:after="0" w:line="240" w:lineRule="auto"/>
        <w:rPr>
          <w:rFonts w:ascii="Arial" w:hAnsi="Arial" w:cs="Arial"/>
          <w:sz w:val="24"/>
          <w:szCs w:val="24"/>
        </w:rPr>
      </w:pPr>
    </w:p>
    <w:p w:rsidR="00914890" w:rsidRPr="005C68CD" w:rsidRDefault="00914890" w:rsidP="003C118F">
      <w:pPr>
        <w:spacing w:after="0" w:line="240" w:lineRule="auto"/>
        <w:rPr>
          <w:rFonts w:ascii="Arial" w:hAnsi="Arial" w:cs="Arial"/>
          <w:sz w:val="24"/>
          <w:szCs w:val="24"/>
        </w:rPr>
      </w:pPr>
      <w:r w:rsidRPr="005C68CD">
        <w:rPr>
          <w:rFonts w:ascii="Arial" w:hAnsi="Arial" w:cs="Arial"/>
          <w:sz w:val="24"/>
          <w:szCs w:val="24"/>
        </w:rPr>
        <w:t>A breakdown of the commercial sites targets and outputs is outlined in table 3 below:</w:t>
      </w:r>
    </w:p>
    <w:p w:rsidR="00914890" w:rsidRPr="005C68CD" w:rsidRDefault="00914890" w:rsidP="003C118F">
      <w:pPr>
        <w:spacing w:after="0" w:line="240" w:lineRule="auto"/>
        <w:ind w:left="284"/>
        <w:rPr>
          <w:rFonts w:ascii="Arial" w:hAnsi="Arial" w:cs="Arial"/>
          <w:b/>
          <w:sz w:val="24"/>
          <w:szCs w:val="24"/>
        </w:rPr>
      </w:pPr>
    </w:p>
    <w:p w:rsidR="00914890" w:rsidRPr="005C68CD" w:rsidRDefault="00914890" w:rsidP="003C118F">
      <w:pPr>
        <w:spacing w:after="0" w:line="240" w:lineRule="auto"/>
        <w:ind w:left="284"/>
        <w:rPr>
          <w:rFonts w:ascii="Arial" w:hAnsi="Arial" w:cs="Arial"/>
          <w:b/>
          <w:sz w:val="24"/>
          <w:szCs w:val="24"/>
        </w:rPr>
      </w:pPr>
      <w:r w:rsidRPr="005C68CD">
        <w:rPr>
          <w:rFonts w:ascii="Arial" w:hAnsi="Arial" w:cs="Arial"/>
          <w:b/>
          <w:sz w:val="24"/>
          <w:szCs w:val="24"/>
        </w:rPr>
        <w:t>Table 3:  commercial floor space – core and supporting outputs</w:t>
      </w:r>
    </w:p>
    <w:p w:rsidR="00914890" w:rsidRDefault="00914890" w:rsidP="003C118F">
      <w:pPr>
        <w:spacing w:after="0" w:line="240" w:lineRule="auto"/>
        <w:ind w:left="284"/>
        <w:rPr>
          <w:rFonts w:ascii="Arial" w:hAnsi="Arial" w:cs="Arial"/>
          <w:b/>
          <w:sz w:val="24"/>
          <w:szCs w:val="24"/>
        </w:rPr>
      </w:pPr>
    </w:p>
    <w:tbl>
      <w:tblPr>
        <w:tblStyle w:val="TableGrid12"/>
        <w:tblW w:w="5000" w:type="pct"/>
        <w:tblLayout w:type="fixed"/>
        <w:tblLook w:val="04A0" w:firstRow="1" w:lastRow="0" w:firstColumn="1" w:lastColumn="0" w:noHBand="0" w:noVBand="1"/>
      </w:tblPr>
      <w:tblGrid>
        <w:gridCol w:w="2689"/>
        <w:gridCol w:w="1559"/>
        <w:gridCol w:w="1701"/>
        <w:gridCol w:w="1276"/>
        <w:gridCol w:w="1791"/>
      </w:tblGrid>
      <w:tr w:rsidR="00914890" w:rsidTr="00914890">
        <w:tc>
          <w:tcPr>
            <w:tcW w:w="2689"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b/>
                <w:sz w:val="24"/>
                <w:szCs w:val="24"/>
              </w:rPr>
            </w:pPr>
            <w:r>
              <w:rPr>
                <w:rFonts w:ascii="Arial" w:hAnsi="Arial" w:cs="Arial"/>
                <w:b/>
                <w:sz w:val="24"/>
                <w:szCs w:val="24"/>
              </w:rPr>
              <w:t>Core  and supporting outputs</w:t>
            </w:r>
          </w:p>
        </w:tc>
        <w:tc>
          <w:tcPr>
            <w:tcW w:w="1559" w:type="dxa"/>
            <w:tcBorders>
              <w:top w:val="single" w:sz="4" w:space="0" w:color="auto"/>
              <w:left w:val="single" w:sz="4" w:space="0" w:color="auto"/>
              <w:bottom w:val="single" w:sz="4" w:space="0" w:color="auto"/>
              <w:right w:val="single" w:sz="4" w:space="0" w:color="auto"/>
            </w:tcBorders>
            <w:hideMark/>
          </w:tcPr>
          <w:p w:rsidR="00914890" w:rsidRDefault="00914890" w:rsidP="003C118F">
            <w:pPr>
              <w:jc w:val="center"/>
              <w:rPr>
                <w:rFonts w:ascii="Arial" w:hAnsi="Arial" w:cs="Arial"/>
                <w:b/>
                <w:sz w:val="24"/>
                <w:szCs w:val="24"/>
              </w:rPr>
            </w:pPr>
            <w:r>
              <w:rPr>
                <w:rFonts w:ascii="Arial" w:hAnsi="Arial" w:cs="Arial"/>
                <w:b/>
                <w:sz w:val="24"/>
                <w:szCs w:val="24"/>
              </w:rPr>
              <w:t xml:space="preserve">17/18 </w:t>
            </w:r>
          </w:p>
          <w:p w:rsidR="00914890" w:rsidRDefault="00914890" w:rsidP="003C118F">
            <w:pPr>
              <w:jc w:val="center"/>
              <w:rPr>
                <w:rFonts w:ascii="Arial" w:hAnsi="Arial" w:cs="Arial"/>
                <w:b/>
                <w:sz w:val="24"/>
                <w:szCs w:val="24"/>
              </w:rPr>
            </w:pPr>
            <w:r>
              <w:rPr>
                <w:rFonts w:ascii="Arial" w:hAnsi="Arial" w:cs="Arial"/>
                <w:b/>
                <w:sz w:val="24"/>
                <w:szCs w:val="24"/>
              </w:rPr>
              <w:t xml:space="preserve">(Q1-2) Trajectory </w:t>
            </w:r>
          </w:p>
          <w:p w:rsidR="00914890" w:rsidRDefault="00914890" w:rsidP="003C118F">
            <w:pPr>
              <w:jc w:val="center"/>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sq</w:t>
            </w:r>
            <w:proofErr w:type="spellEnd"/>
            <w:r>
              <w:rPr>
                <w:rFonts w:ascii="Arial" w:hAnsi="Arial" w:cs="Arial"/>
                <w:b/>
                <w:sz w:val="24"/>
                <w:szCs w:val="24"/>
              </w:rPr>
              <w:t xml:space="preserve"> m)</w:t>
            </w:r>
          </w:p>
        </w:tc>
        <w:tc>
          <w:tcPr>
            <w:tcW w:w="1701" w:type="dxa"/>
            <w:tcBorders>
              <w:top w:val="single" w:sz="4" w:space="0" w:color="auto"/>
              <w:left w:val="single" w:sz="4" w:space="0" w:color="auto"/>
              <w:bottom w:val="single" w:sz="4" w:space="0" w:color="auto"/>
              <w:right w:val="single" w:sz="4" w:space="0" w:color="auto"/>
            </w:tcBorders>
            <w:hideMark/>
          </w:tcPr>
          <w:p w:rsidR="00914890" w:rsidRDefault="00914890" w:rsidP="003C118F">
            <w:pPr>
              <w:jc w:val="center"/>
              <w:rPr>
                <w:rFonts w:ascii="Arial" w:hAnsi="Arial" w:cs="Arial"/>
                <w:b/>
                <w:sz w:val="24"/>
                <w:szCs w:val="24"/>
              </w:rPr>
            </w:pPr>
            <w:r>
              <w:rPr>
                <w:rFonts w:ascii="Arial" w:hAnsi="Arial" w:cs="Arial"/>
                <w:b/>
                <w:sz w:val="24"/>
                <w:szCs w:val="24"/>
              </w:rPr>
              <w:t>17/18</w:t>
            </w:r>
          </w:p>
          <w:p w:rsidR="00914890" w:rsidRDefault="00914890" w:rsidP="003C118F">
            <w:pPr>
              <w:jc w:val="center"/>
              <w:rPr>
                <w:rFonts w:ascii="Arial" w:hAnsi="Arial" w:cs="Arial"/>
                <w:b/>
                <w:sz w:val="24"/>
                <w:szCs w:val="24"/>
              </w:rPr>
            </w:pPr>
            <w:r>
              <w:rPr>
                <w:rFonts w:ascii="Arial" w:hAnsi="Arial" w:cs="Arial"/>
                <w:b/>
                <w:sz w:val="24"/>
                <w:szCs w:val="24"/>
              </w:rPr>
              <w:t>(Q1-2) Actual</w:t>
            </w:r>
          </w:p>
          <w:p w:rsidR="00914890" w:rsidRDefault="00914890" w:rsidP="003C118F">
            <w:pPr>
              <w:jc w:val="center"/>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sq</w:t>
            </w:r>
            <w:proofErr w:type="spellEnd"/>
            <w:r>
              <w:rPr>
                <w:rFonts w:ascii="Arial" w:hAnsi="Arial" w:cs="Arial"/>
                <w:b/>
                <w:sz w:val="24"/>
                <w:szCs w:val="24"/>
              </w:rPr>
              <w:t xml:space="preserve"> m)</w:t>
            </w:r>
          </w:p>
        </w:tc>
        <w:tc>
          <w:tcPr>
            <w:tcW w:w="1276" w:type="dxa"/>
            <w:tcBorders>
              <w:top w:val="single" w:sz="4" w:space="0" w:color="auto"/>
              <w:left w:val="single" w:sz="4" w:space="0" w:color="auto"/>
              <w:bottom w:val="single" w:sz="4" w:space="0" w:color="auto"/>
              <w:right w:val="single" w:sz="4" w:space="0" w:color="auto"/>
            </w:tcBorders>
          </w:tcPr>
          <w:p w:rsidR="00914890" w:rsidRDefault="00914890" w:rsidP="003C118F">
            <w:pPr>
              <w:jc w:val="center"/>
              <w:rPr>
                <w:rFonts w:ascii="Arial" w:hAnsi="Arial" w:cs="Arial"/>
                <w:b/>
                <w:sz w:val="24"/>
                <w:szCs w:val="24"/>
              </w:rPr>
            </w:pPr>
            <w:r>
              <w:rPr>
                <w:rFonts w:ascii="Arial" w:hAnsi="Arial" w:cs="Arial"/>
                <w:b/>
                <w:sz w:val="24"/>
                <w:szCs w:val="24"/>
              </w:rPr>
              <w:t xml:space="preserve">17/18 </w:t>
            </w:r>
          </w:p>
          <w:p w:rsidR="00914890" w:rsidRDefault="00914890" w:rsidP="003C118F">
            <w:pPr>
              <w:jc w:val="center"/>
              <w:rPr>
                <w:rFonts w:ascii="Arial" w:hAnsi="Arial" w:cs="Arial"/>
                <w:b/>
                <w:sz w:val="24"/>
                <w:szCs w:val="24"/>
              </w:rPr>
            </w:pPr>
            <w:r>
              <w:rPr>
                <w:rFonts w:ascii="Arial" w:hAnsi="Arial" w:cs="Arial"/>
                <w:b/>
                <w:sz w:val="24"/>
                <w:szCs w:val="24"/>
              </w:rPr>
              <w:t>(Q1-2) variance</w:t>
            </w:r>
          </w:p>
        </w:tc>
        <w:tc>
          <w:tcPr>
            <w:tcW w:w="1791" w:type="dxa"/>
            <w:tcBorders>
              <w:top w:val="single" w:sz="4" w:space="0" w:color="auto"/>
              <w:left w:val="single" w:sz="4" w:space="0" w:color="auto"/>
              <w:bottom w:val="single" w:sz="4" w:space="0" w:color="auto"/>
              <w:right w:val="single" w:sz="4" w:space="0" w:color="auto"/>
            </w:tcBorders>
            <w:hideMark/>
          </w:tcPr>
          <w:p w:rsidR="00914890" w:rsidRDefault="00914890" w:rsidP="003C118F">
            <w:pPr>
              <w:jc w:val="center"/>
              <w:rPr>
                <w:rFonts w:ascii="Arial" w:hAnsi="Arial" w:cs="Arial"/>
                <w:b/>
                <w:sz w:val="24"/>
                <w:szCs w:val="24"/>
              </w:rPr>
            </w:pPr>
            <w:r>
              <w:rPr>
                <w:rFonts w:ascii="Arial" w:hAnsi="Arial" w:cs="Arial"/>
                <w:b/>
                <w:sz w:val="24"/>
                <w:szCs w:val="24"/>
              </w:rPr>
              <w:t xml:space="preserve">  All Years Cumulative Variance </w:t>
            </w:r>
          </w:p>
        </w:tc>
      </w:tr>
      <w:tr w:rsidR="00914890" w:rsidTr="00914890">
        <w:tc>
          <w:tcPr>
            <w:tcW w:w="2689"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sz w:val="24"/>
                <w:szCs w:val="24"/>
              </w:rPr>
            </w:pPr>
            <w:r>
              <w:rPr>
                <w:rFonts w:ascii="Arial" w:hAnsi="Arial" w:cs="Arial"/>
                <w:sz w:val="24"/>
                <w:szCs w:val="24"/>
              </w:rPr>
              <w:t xml:space="preserve">Commercial </w:t>
            </w:r>
            <w:proofErr w:type="spellStart"/>
            <w:r>
              <w:rPr>
                <w:rFonts w:ascii="Arial" w:hAnsi="Arial" w:cs="Arial"/>
                <w:sz w:val="24"/>
                <w:szCs w:val="24"/>
              </w:rPr>
              <w:t>floorspace</w:t>
            </w:r>
            <w:proofErr w:type="spellEnd"/>
            <w:r>
              <w:rPr>
                <w:rFonts w:ascii="Arial" w:hAnsi="Arial" w:cs="Arial"/>
                <w:sz w:val="24"/>
                <w:szCs w:val="24"/>
              </w:rPr>
              <w:t xml:space="preserve"> consented for planning  (</w:t>
            </w:r>
            <w:proofErr w:type="spellStart"/>
            <w:r>
              <w:rPr>
                <w:rFonts w:ascii="Arial" w:hAnsi="Arial" w:cs="Arial"/>
                <w:sz w:val="24"/>
                <w:szCs w:val="24"/>
              </w:rPr>
              <w:t>sq</w:t>
            </w:r>
            <w:proofErr w:type="spellEnd"/>
            <w:r>
              <w:rPr>
                <w:rFonts w:ascii="Arial" w:hAnsi="Arial" w:cs="Arial"/>
                <w:sz w:val="24"/>
                <w:szCs w:val="24"/>
              </w:rPr>
              <w:t xml:space="preserve"> m)</w:t>
            </w:r>
          </w:p>
          <w:p w:rsidR="00914890" w:rsidRDefault="00914890" w:rsidP="003C118F">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14890" w:rsidRPr="00247579" w:rsidRDefault="00914890" w:rsidP="003C118F">
            <w:pPr>
              <w:jc w:val="center"/>
              <w:rPr>
                <w:rFonts w:ascii="Arial" w:hAnsi="Arial" w:cs="Arial"/>
                <w:sz w:val="24"/>
                <w:szCs w:val="24"/>
              </w:rPr>
            </w:pPr>
            <w:r w:rsidRPr="00247579">
              <w:rPr>
                <w:rFonts w:ascii="Arial" w:hAnsi="Arial" w:cs="Arial"/>
                <w:sz w:val="24"/>
                <w:szCs w:val="24"/>
              </w:rPr>
              <w:t>188,642</w:t>
            </w:r>
          </w:p>
        </w:tc>
        <w:tc>
          <w:tcPr>
            <w:tcW w:w="1701" w:type="dxa"/>
            <w:tcBorders>
              <w:top w:val="single" w:sz="4" w:space="0" w:color="auto"/>
              <w:left w:val="single" w:sz="4" w:space="0" w:color="auto"/>
              <w:bottom w:val="single" w:sz="4" w:space="0" w:color="auto"/>
              <w:right w:val="single" w:sz="4" w:space="0" w:color="auto"/>
            </w:tcBorders>
            <w:hideMark/>
          </w:tcPr>
          <w:p w:rsidR="00914890" w:rsidRPr="00247579" w:rsidRDefault="00914890" w:rsidP="003C118F">
            <w:pPr>
              <w:jc w:val="center"/>
              <w:rPr>
                <w:rFonts w:ascii="Arial" w:hAnsi="Arial" w:cs="Arial"/>
                <w:sz w:val="24"/>
                <w:szCs w:val="24"/>
              </w:rPr>
            </w:pPr>
            <w:r w:rsidRPr="00247579">
              <w:rPr>
                <w:rFonts w:ascii="Arial" w:hAnsi="Arial" w:cs="Arial"/>
                <w:sz w:val="24"/>
                <w:szCs w:val="24"/>
              </w:rPr>
              <w:t>188,642</w:t>
            </w:r>
          </w:p>
        </w:tc>
        <w:tc>
          <w:tcPr>
            <w:tcW w:w="1276" w:type="dxa"/>
            <w:tcBorders>
              <w:top w:val="single" w:sz="4" w:space="0" w:color="auto"/>
              <w:left w:val="single" w:sz="4" w:space="0" w:color="auto"/>
              <w:bottom w:val="single" w:sz="4" w:space="0" w:color="auto"/>
              <w:right w:val="single" w:sz="4" w:space="0" w:color="auto"/>
            </w:tcBorders>
          </w:tcPr>
          <w:p w:rsidR="00914890" w:rsidRDefault="00914890" w:rsidP="003C118F">
            <w:pPr>
              <w:jc w:val="center"/>
              <w:rPr>
                <w:rFonts w:ascii="Arial" w:hAnsi="Arial" w:cs="Arial"/>
                <w:sz w:val="24"/>
                <w:szCs w:val="24"/>
              </w:rPr>
            </w:pPr>
            <w:r>
              <w:rPr>
                <w:rFonts w:ascii="Arial" w:hAnsi="Arial" w:cs="Arial"/>
                <w:sz w:val="24"/>
                <w:szCs w:val="24"/>
              </w:rPr>
              <w:t>0</w:t>
            </w:r>
          </w:p>
        </w:tc>
        <w:tc>
          <w:tcPr>
            <w:tcW w:w="1791" w:type="dxa"/>
            <w:tcBorders>
              <w:top w:val="single" w:sz="4" w:space="0" w:color="auto"/>
              <w:left w:val="single" w:sz="4" w:space="0" w:color="auto"/>
              <w:bottom w:val="single" w:sz="4" w:space="0" w:color="auto"/>
              <w:right w:val="single" w:sz="4" w:space="0" w:color="auto"/>
            </w:tcBorders>
          </w:tcPr>
          <w:p w:rsidR="00914890" w:rsidRPr="001A2369" w:rsidRDefault="00914890" w:rsidP="003C118F">
            <w:pPr>
              <w:jc w:val="center"/>
              <w:rPr>
                <w:rFonts w:ascii="Arial" w:hAnsi="Arial" w:cs="Arial"/>
                <w:sz w:val="24"/>
                <w:szCs w:val="24"/>
              </w:rPr>
            </w:pPr>
            <w:r w:rsidRPr="001A2369">
              <w:rPr>
                <w:rFonts w:ascii="Arial" w:hAnsi="Arial" w:cs="Arial"/>
                <w:sz w:val="24"/>
                <w:szCs w:val="24"/>
              </w:rPr>
              <w:t>-155,702</w:t>
            </w:r>
          </w:p>
          <w:p w:rsidR="00914890" w:rsidRDefault="00914890" w:rsidP="003C118F">
            <w:pPr>
              <w:rPr>
                <w:rFonts w:ascii="Arial" w:hAnsi="Arial" w:cs="Arial"/>
                <w:sz w:val="24"/>
                <w:szCs w:val="24"/>
                <w:highlight w:val="cyan"/>
              </w:rPr>
            </w:pPr>
          </w:p>
        </w:tc>
      </w:tr>
      <w:tr w:rsidR="00914890" w:rsidTr="00914890">
        <w:tc>
          <w:tcPr>
            <w:tcW w:w="2689"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sz w:val="24"/>
                <w:szCs w:val="24"/>
              </w:rPr>
            </w:pPr>
            <w:r>
              <w:rPr>
                <w:rFonts w:ascii="Arial" w:hAnsi="Arial" w:cs="Arial"/>
                <w:sz w:val="24"/>
                <w:szCs w:val="24"/>
              </w:rPr>
              <w:t xml:space="preserve">Commercial </w:t>
            </w:r>
            <w:proofErr w:type="spellStart"/>
            <w:r>
              <w:rPr>
                <w:rFonts w:ascii="Arial" w:hAnsi="Arial" w:cs="Arial"/>
                <w:sz w:val="24"/>
                <w:szCs w:val="24"/>
              </w:rPr>
              <w:t>floorspace</w:t>
            </w:r>
            <w:proofErr w:type="spellEnd"/>
            <w:r>
              <w:rPr>
                <w:rFonts w:ascii="Arial" w:hAnsi="Arial" w:cs="Arial"/>
                <w:sz w:val="24"/>
                <w:szCs w:val="24"/>
              </w:rPr>
              <w:t xml:space="preserve"> completed (</w:t>
            </w:r>
            <w:proofErr w:type="spellStart"/>
            <w:r>
              <w:rPr>
                <w:rFonts w:ascii="Arial" w:hAnsi="Arial" w:cs="Arial"/>
                <w:sz w:val="24"/>
                <w:szCs w:val="24"/>
              </w:rPr>
              <w:t>sq</w:t>
            </w:r>
            <w:proofErr w:type="spellEnd"/>
            <w:r>
              <w:rPr>
                <w:rFonts w:ascii="Arial" w:hAnsi="Arial" w:cs="Arial"/>
                <w:sz w:val="24"/>
                <w:szCs w:val="24"/>
              </w:rPr>
              <w:t xml:space="preserve"> m)</w:t>
            </w:r>
          </w:p>
          <w:p w:rsidR="00914890" w:rsidRDefault="00914890" w:rsidP="003C118F">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14890" w:rsidRDefault="00914890" w:rsidP="003C118F">
            <w:pPr>
              <w:jc w:val="center"/>
              <w:rPr>
                <w:rFonts w:ascii="Arial" w:hAnsi="Arial" w:cs="Arial"/>
                <w:sz w:val="24"/>
                <w:szCs w:val="24"/>
                <w:highlight w:val="cyan"/>
              </w:rPr>
            </w:pPr>
            <w:r w:rsidRPr="00247579">
              <w:rPr>
                <w:rFonts w:ascii="Arial" w:hAnsi="Arial" w:cs="Arial"/>
                <w:sz w:val="24"/>
                <w:szCs w:val="24"/>
              </w:rPr>
              <w:t>418</w:t>
            </w:r>
          </w:p>
        </w:tc>
        <w:tc>
          <w:tcPr>
            <w:tcW w:w="1701" w:type="dxa"/>
            <w:tcBorders>
              <w:top w:val="single" w:sz="4" w:space="0" w:color="auto"/>
              <w:left w:val="single" w:sz="4" w:space="0" w:color="auto"/>
              <w:bottom w:val="single" w:sz="4" w:space="0" w:color="auto"/>
              <w:right w:val="single" w:sz="4" w:space="0" w:color="auto"/>
            </w:tcBorders>
            <w:hideMark/>
          </w:tcPr>
          <w:p w:rsidR="00914890" w:rsidRDefault="00914890" w:rsidP="003C118F">
            <w:pPr>
              <w:jc w:val="center"/>
              <w:rPr>
                <w:rFonts w:ascii="Arial" w:hAnsi="Arial" w:cs="Arial"/>
                <w:sz w:val="24"/>
                <w:szCs w:val="24"/>
                <w:highlight w:val="cyan"/>
              </w:rPr>
            </w:pPr>
            <w:r w:rsidRPr="00247579">
              <w:rPr>
                <w:rFonts w:ascii="Arial" w:hAnsi="Arial" w:cs="Arial"/>
                <w:sz w:val="24"/>
                <w:szCs w:val="24"/>
              </w:rPr>
              <w:t>2,601</w:t>
            </w:r>
          </w:p>
        </w:tc>
        <w:tc>
          <w:tcPr>
            <w:tcW w:w="1276" w:type="dxa"/>
            <w:tcBorders>
              <w:top w:val="single" w:sz="4" w:space="0" w:color="auto"/>
              <w:left w:val="single" w:sz="4" w:space="0" w:color="auto"/>
              <w:bottom w:val="single" w:sz="4" w:space="0" w:color="auto"/>
              <w:right w:val="single" w:sz="4" w:space="0" w:color="auto"/>
            </w:tcBorders>
          </w:tcPr>
          <w:p w:rsidR="00914890" w:rsidRDefault="00914890" w:rsidP="003C118F">
            <w:pPr>
              <w:jc w:val="center"/>
              <w:rPr>
                <w:rFonts w:ascii="Arial" w:hAnsi="Arial" w:cs="Arial"/>
                <w:sz w:val="24"/>
                <w:szCs w:val="24"/>
              </w:rPr>
            </w:pPr>
            <w:r>
              <w:rPr>
                <w:rFonts w:ascii="Arial" w:hAnsi="Arial" w:cs="Arial"/>
                <w:sz w:val="24"/>
                <w:szCs w:val="24"/>
              </w:rPr>
              <w:t>+2,183</w:t>
            </w:r>
          </w:p>
        </w:tc>
        <w:tc>
          <w:tcPr>
            <w:tcW w:w="1791" w:type="dxa"/>
            <w:tcBorders>
              <w:top w:val="single" w:sz="4" w:space="0" w:color="auto"/>
              <w:left w:val="single" w:sz="4" w:space="0" w:color="auto"/>
              <w:bottom w:val="single" w:sz="4" w:space="0" w:color="auto"/>
              <w:right w:val="single" w:sz="4" w:space="0" w:color="auto"/>
            </w:tcBorders>
            <w:hideMark/>
          </w:tcPr>
          <w:p w:rsidR="00914890" w:rsidRDefault="00914890" w:rsidP="003C118F">
            <w:pPr>
              <w:jc w:val="center"/>
              <w:rPr>
                <w:rFonts w:ascii="Arial" w:hAnsi="Arial" w:cs="Arial"/>
                <w:sz w:val="24"/>
                <w:szCs w:val="24"/>
                <w:highlight w:val="cyan"/>
              </w:rPr>
            </w:pPr>
            <w:r>
              <w:rPr>
                <w:rFonts w:ascii="Arial" w:hAnsi="Arial" w:cs="Arial"/>
                <w:sz w:val="24"/>
                <w:szCs w:val="24"/>
              </w:rPr>
              <w:t>+12,802</w:t>
            </w:r>
          </w:p>
        </w:tc>
      </w:tr>
      <w:tr w:rsidR="00914890" w:rsidTr="00914890">
        <w:tc>
          <w:tcPr>
            <w:tcW w:w="2689"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4"/>
                <w:szCs w:val="24"/>
              </w:rPr>
            </w:pPr>
            <w:r>
              <w:rPr>
                <w:rFonts w:ascii="Arial" w:hAnsi="Arial" w:cs="Arial"/>
                <w:sz w:val="24"/>
                <w:szCs w:val="24"/>
              </w:rPr>
              <w:t xml:space="preserve">Commercial </w:t>
            </w:r>
            <w:proofErr w:type="spellStart"/>
            <w:r>
              <w:rPr>
                <w:rFonts w:ascii="Arial" w:hAnsi="Arial" w:cs="Arial"/>
                <w:sz w:val="24"/>
                <w:szCs w:val="24"/>
              </w:rPr>
              <w:t>floorspace</w:t>
            </w:r>
            <w:proofErr w:type="spellEnd"/>
            <w:r>
              <w:rPr>
                <w:rFonts w:ascii="Arial" w:hAnsi="Arial" w:cs="Arial"/>
                <w:sz w:val="24"/>
                <w:szCs w:val="24"/>
              </w:rPr>
              <w:t xml:space="preserve"> submitted for planning (</w:t>
            </w:r>
            <w:proofErr w:type="spellStart"/>
            <w:r>
              <w:rPr>
                <w:rFonts w:ascii="Arial" w:hAnsi="Arial" w:cs="Arial"/>
                <w:sz w:val="24"/>
                <w:szCs w:val="24"/>
              </w:rPr>
              <w:t>sq</w:t>
            </w:r>
            <w:proofErr w:type="spellEnd"/>
            <w:r>
              <w:rPr>
                <w:rFonts w:ascii="Arial" w:hAnsi="Arial" w:cs="Arial"/>
                <w:sz w:val="24"/>
                <w:szCs w:val="24"/>
              </w:rPr>
              <w:t xml:space="preserve"> m)</w:t>
            </w:r>
          </w:p>
        </w:tc>
        <w:tc>
          <w:tcPr>
            <w:tcW w:w="1559" w:type="dxa"/>
            <w:tcBorders>
              <w:top w:val="single" w:sz="4" w:space="0" w:color="auto"/>
              <w:left w:val="single" w:sz="4" w:space="0" w:color="auto"/>
              <w:bottom w:val="single" w:sz="4" w:space="0" w:color="auto"/>
              <w:right w:val="single" w:sz="4" w:space="0" w:color="auto"/>
            </w:tcBorders>
            <w:hideMark/>
          </w:tcPr>
          <w:p w:rsidR="00914890" w:rsidRDefault="00914890" w:rsidP="003C118F">
            <w:pPr>
              <w:jc w:val="center"/>
              <w:rPr>
                <w:rFonts w:ascii="Arial" w:hAnsi="Arial" w:cs="Arial"/>
                <w:sz w:val="24"/>
                <w:szCs w:val="24"/>
                <w:highlight w:val="cyan"/>
              </w:rPr>
            </w:pPr>
            <w:r w:rsidRPr="00247579">
              <w:rPr>
                <w:rFonts w:ascii="Arial" w:hAnsi="Arial" w:cs="Arial"/>
                <w:sz w:val="24"/>
                <w:szCs w:val="24"/>
              </w:rPr>
              <w:t>1,400</w:t>
            </w:r>
          </w:p>
        </w:tc>
        <w:tc>
          <w:tcPr>
            <w:tcW w:w="1701" w:type="dxa"/>
            <w:tcBorders>
              <w:top w:val="single" w:sz="4" w:space="0" w:color="auto"/>
              <w:left w:val="single" w:sz="4" w:space="0" w:color="auto"/>
              <w:bottom w:val="single" w:sz="4" w:space="0" w:color="auto"/>
              <w:right w:val="single" w:sz="4" w:space="0" w:color="auto"/>
            </w:tcBorders>
            <w:hideMark/>
          </w:tcPr>
          <w:p w:rsidR="00914890" w:rsidRDefault="00914890" w:rsidP="003C118F">
            <w:pPr>
              <w:jc w:val="center"/>
              <w:rPr>
                <w:rFonts w:ascii="Arial" w:hAnsi="Arial" w:cs="Arial"/>
                <w:sz w:val="24"/>
                <w:szCs w:val="24"/>
                <w:highlight w:val="cyan"/>
              </w:rPr>
            </w:pPr>
            <w:r>
              <w:rPr>
                <w:rFonts w:ascii="Arial" w:hAnsi="Arial" w:cs="Arial"/>
                <w:sz w:val="24"/>
                <w:szCs w:val="24"/>
              </w:rPr>
              <w:t>9,116</w:t>
            </w:r>
          </w:p>
        </w:tc>
        <w:tc>
          <w:tcPr>
            <w:tcW w:w="1276" w:type="dxa"/>
            <w:tcBorders>
              <w:top w:val="single" w:sz="4" w:space="0" w:color="auto"/>
              <w:left w:val="single" w:sz="4" w:space="0" w:color="auto"/>
              <w:bottom w:val="single" w:sz="4" w:space="0" w:color="auto"/>
              <w:right w:val="single" w:sz="4" w:space="0" w:color="auto"/>
            </w:tcBorders>
          </w:tcPr>
          <w:p w:rsidR="00914890" w:rsidRDefault="00914890" w:rsidP="003C118F">
            <w:pPr>
              <w:jc w:val="center"/>
              <w:rPr>
                <w:rFonts w:ascii="Arial" w:hAnsi="Arial" w:cs="Arial"/>
                <w:sz w:val="24"/>
                <w:szCs w:val="24"/>
              </w:rPr>
            </w:pPr>
            <w:r>
              <w:rPr>
                <w:rFonts w:ascii="Arial" w:hAnsi="Arial" w:cs="Arial"/>
                <w:sz w:val="24"/>
                <w:szCs w:val="24"/>
              </w:rPr>
              <w:t>+7,716</w:t>
            </w:r>
          </w:p>
        </w:tc>
        <w:tc>
          <w:tcPr>
            <w:tcW w:w="1791" w:type="dxa"/>
            <w:tcBorders>
              <w:top w:val="single" w:sz="4" w:space="0" w:color="auto"/>
              <w:left w:val="single" w:sz="4" w:space="0" w:color="auto"/>
              <w:bottom w:val="single" w:sz="4" w:space="0" w:color="auto"/>
              <w:right w:val="single" w:sz="4" w:space="0" w:color="auto"/>
            </w:tcBorders>
            <w:hideMark/>
          </w:tcPr>
          <w:p w:rsidR="00914890" w:rsidRDefault="00914890" w:rsidP="003C118F">
            <w:pPr>
              <w:jc w:val="center"/>
              <w:rPr>
                <w:rFonts w:ascii="Arial" w:hAnsi="Arial" w:cs="Arial"/>
                <w:sz w:val="24"/>
                <w:szCs w:val="24"/>
                <w:highlight w:val="cyan"/>
              </w:rPr>
            </w:pPr>
            <w:r>
              <w:rPr>
                <w:rFonts w:ascii="Arial" w:hAnsi="Arial" w:cs="Arial"/>
                <w:sz w:val="24"/>
                <w:szCs w:val="24"/>
              </w:rPr>
              <w:t>-38,954</w:t>
            </w:r>
          </w:p>
        </w:tc>
      </w:tr>
    </w:tbl>
    <w:p w:rsidR="00914890" w:rsidRPr="005C68CD" w:rsidRDefault="00914890" w:rsidP="003C118F">
      <w:pPr>
        <w:spacing w:after="0" w:line="240" w:lineRule="auto"/>
        <w:rPr>
          <w:rFonts w:ascii="Arial" w:hAnsi="Arial" w:cs="Arial"/>
          <w:sz w:val="24"/>
          <w:szCs w:val="24"/>
        </w:rPr>
      </w:pPr>
    </w:p>
    <w:p w:rsidR="00914890" w:rsidRPr="005C68CD" w:rsidRDefault="00914890" w:rsidP="003C118F">
      <w:pPr>
        <w:tabs>
          <w:tab w:val="left" w:pos="426"/>
        </w:tabs>
        <w:spacing w:after="0" w:line="240" w:lineRule="auto"/>
        <w:ind w:left="360" w:hanging="360"/>
        <w:rPr>
          <w:rFonts w:ascii="Arial" w:hAnsi="Arial" w:cs="Arial"/>
          <w:sz w:val="24"/>
          <w:szCs w:val="24"/>
        </w:rPr>
      </w:pPr>
      <w:r w:rsidRPr="005C68CD">
        <w:rPr>
          <w:rFonts w:ascii="Arial" w:hAnsi="Arial" w:cs="Arial"/>
          <w:sz w:val="24"/>
          <w:szCs w:val="24"/>
        </w:rPr>
        <w:t xml:space="preserve">Notable progress has been made on the following named sites: </w:t>
      </w:r>
    </w:p>
    <w:p w:rsidR="00914890" w:rsidRPr="005A4DB8" w:rsidRDefault="00914890" w:rsidP="003C118F">
      <w:pPr>
        <w:pStyle w:val="ListParagraph"/>
        <w:numPr>
          <w:ilvl w:val="0"/>
          <w:numId w:val="14"/>
        </w:numPr>
        <w:tabs>
          <w:tab w:val="left" w:pos="426"/>
        </w:tabs>
        <w:spacing w:after="0" w:line="240" w:lineRule="auto"/>
        <w:rPr>
          <w:rFonts w:ascii="Arial" w:hAnsi="Arial" w:cs="Arial"/>
          <w:sz w:val="24"/>
          <w:szCs w:val="24"/>
        </w:rPr>
      </w:pPr>
      <w:r w:rsidRPr="005A4DB8">
        <w:rPr>
          <w:rFonts w:ascii="Arial" w:hAnsi="Arial" w:cs="Arial"/>
          <w:sz w:val="24"/>
          <w:szCs w:val="24"/>
        </w:rPr>
        <w:t>Red Scar – Phase 2 completed following strong occupation of Phase 1</w:t>
      </w:r>
    </w:p>
    <w:p w:rsidR="00914890" w:rsidRPr="005A4DB8" w:rsidRDefault="00914890" w:rsidP="003C118F">
      <w:pPr>
        <w:pStyle w:val="ListParagraph"/>
        <w:numPr>
          <w:ilvl w:val="0"/>
          <w:numId w:val="14"/>
        </w:numPr>
        <w:tabs>
          <w:tab w:val="left" w:pos="426"/>
        </w:tabs>
        <w:spacing w:after="0" w:line="240" w:lineRule="auto"/>
        <w:rPr>
          <w:rFonts w:ascii="Arial" w:hAnsi="Arial" w:cs="Arial"/>
          <w:sz w:val="24"/>
          <w:szCs w:val="24"/>
        </w:rPr>
      </w:pPr>
      <w:r w:rsidRPr="005A4DB8">
        <w:rPr>
          <w:rFonts w:ascii="Arial" w:hAnsi="Arial" w:cs="Arial"/>
          <w:sz w:val="24"/>
          <w:szCs w:val="24"/>
        </w:rPr>
        <w:t xml:space="preserve">Preston East (Sector D) – commenced on site </w:t>
      </w:r>
    </w:p>
    <w:p w:rsidR="00914890" w:rsidRPr="005A4DB8" w:rsidRDefault="00914890" w:rsidP="003C118F">
      <w:pPr>
        <w:pStyle w:val="ListParagraph"/>
        <w:numPr>
          <w:ilvl w:val="0"/>
          <w:numId w:val="14"/>
        </w:numPr>
        <w:tabs>
          <w:tab w:val="left" w:pos="426"/>
        </w:tabs>
        <w:spacing w:after="0" w:line="240" w:lineRule="auto"/>
        <w:rPr>
          <w:rFonts w:ascii="Arial" w:hAnsi="Arial" w:cs="Arial"/>
          <w:sz w:val="24"/>
          <w:szCs w:val="24"/>
        </w:rPr>
      </w:pPr>
      <w:r w:rsidRPr="005A4DB8">
        <w:rPr>
          <w:rFonts w:ascii="Arial" w:hAnsi="Arial" w:cs="Arial"/>
          <w:sz w:val="24"/>
          <w:szCs w:val="24"/>
        </w:rPr>
        <w:t xml:space="preserve">UCLAN Campus (Engineering Innovation College) – commenced on site </w:t>
      </w:r>
    </w:p>
    <w:p w:rsidR="00914890" w:rsidRPr="005A4DB8" w:rsidRDefault="00914890" w:rsidP="003C118F">
      <w:pPr>
        <w:pStyle w:val="ListParagraph"/>
        <w:numPr>
          <w:ilvl w:val="0"/>
          <w:numId w:val="14"/>
        </w:numPr>
        <w:tabs>
          <w:tab w:val="left" w:pos="426"/>
        </w:tabs>
        <w:spacing w:after="0" w:line="240" w:lineRule="auto"/>
        <w:rPr>
          <w:rFonts w:ascii="Arial" w:hAnsi="Arial" w:cs="Arial"/>
          <w:sz w:val="24"/>
          <w:szCs w:val="24"/>
        </w:rPr>
      </w:pPr>
      <w:r w:rsidRPr="005A4DB8">
        <w:rPr>
          <w:rFonts w:ascii="Arial" w:hAnsi="Arial" w:cs="Arial"/>
          <w:sz w:val="24"/>
          <w:szCs w:val="24"/>
        </w:rPr>
        <w:t xml:space="preserve">South Rings employment site – commenced on site </w:t>
      </w:r>
    </w:p>
    <w:p w:rsidR="00914890" w:rsidRPr="005A4DB8" w:rsidRDefault="00914890" w:rsidP="003C118F">
      <w:pPr>
        <w:pStyle w:val="ListParagraph"/>
        <w:numPr>
          <w:ilvl w:val="0"/>
          <w:numId w:val="14"/>
        </w:numPr>
        <w:tabs>
          <w:tab w:val="left" w:pos="426"/>
        </w:tabs>
        <w:spacing w:after="0" w:line="240" w:lineRule="auto"/>
        <w:rPr>
          <w:rFonts w:ascii="Arial" w:hAnsi="Arial" w:cs="Arial"/>
          <w:sz w:val="24"/>
          <w:szCs w:val="24"/>
        </w:rPr>
      </w:pPr>
      <w:r w:rsidRPr="005A4DB8">
        <w:rPr>
          <w:rFonts w:ascii="Arial" w:hAnsi="Arial" w:cs="Arial"/>
          <w:sz w:val="24"/>
          <w:szCs w:val="24"/>
        </w:rPr>
        <w:t>Horrocks Development – Phase 2 completed</w:t>
      </w:r>
    </w:p>
    <w:p w:rsidR="00914890" w:rsidRPr="005C68CD" w:rsidRDefault="00914890" w:rsidP="003C118F">
      <w:pPr>
        <w:tabs>
          <w:tab w:val="left" w:pos="426"/>
        </w:tabs>
        <w:spacing w:after="0" w:line="240" w:lineRule="auto"/>
        <w:ind w:left="720"/>
        <w:contextualSpacing/>
        <w:rPr>
          <w:rFonts w:ascii="Arial" w:hAnsi="Arial" w:cs="Arial"/>
          <w:sz w:val="24"/>
          <w:szCs w:val="24"/>
        </w:rPr>
      </w:pPr>
      <w:r w:rsidRPr="005C68CD">
        <w:rPr>
          <w:rFonts w:ascii="Arial" w:hAnsi="Arial" w:cs="Arial"/>
          <w:sz w:val="24"/>
          <w:szCs w:val="24"/>
        </w:rPr>
        <w:t xml:space="preserve"> </w:t>
      </w:r>
    </w:p>
    <w:p w:rsidR="00914890" w:rsidRPr="005C68CD" w:rsidRDefault="00914890" w:rsidP="003C118F">
      <w:pPr>
        <w:tabs>
          <w:tab w:val="left" w:pos="426"/>
        </w:tabs>
        <w:spacing w:after="0" w:line="240" w:lineRule="auto"/>
        <w:rPr>
          <w:rFonts w:ascii="Arial" w:hAnsi="Arial" w:cs="Arial"/>
          <w:sz w:val="24"/>
          <w:szCs w:val="24"/>
        </w:rPr>
      </w:pPr>
      <w:r w:rsidRPr="005C68CD">
        <w:rPr>
          <w:rFonts w:ascii="Arial" w:hAnsi="Arial" w:cs="Arial"/>
          <w:sz w:val="24"/>
          <w:szCs w:val="24"/>
        </w:rPr>
        <w:t>The following sites have not progressed as anticipated:</w:t>
      </w:r>
    </w:p>
    <w:p w:rsidR="00914890" w:rsidRPr="005A4DB8" w:rsidRDefault="00914890" w:rsidP="003C118F">
      <w:pPr>
        <w:pStyle w:val="ListParagraph"/>
        <w:numPr>
          <w:ilvl w:val="0"/>
          <w:numId w:val="15"/>
        </w:numPr>
        <w:tabs>
          <w:tab w:val="left" w:pos="426"/>
        </w:tabs>
        <w:spacing w:after="0" w:line="240" w:lineRule="auto"/>
        <w:rPr>
          <w:rFonts w:ascii="Arial" w:hAnsi="Arial" w:cs="Arial"/>
          <w:sz w:val="24"/>
          <w:szCs w:val="24"/>
        </w:rPr>
      </w:pPr>
      <w:r w:rsidRPr="005A4DB8">
        <w:rPr>
          <w:rFonts w:ascii="Arial" w:hAnsi="Arial" w:cs="Arial"/>
          <w:sz w:val="24"/>
          <w:szCs w:val="24"/>
        </w:rPr>
        <w:t xml:space="preserve">Employment land at mixed-use sites have been delayed including Cottam Brickworks and Whittingham Hospital </w:t>
      </w:r>
    </w:p>
    <w:p w:rsidR="00914890" w:rsidRPr="005A4DB8" w:rsidRDefault="00914890" w:rsidP="003C118F">
      <w:pPr>
        <w:pStyle w:val="ListParagraph"/>
        <w:numPr>
          <w:ilvl w:val="0"/>
          <w:numId w:val="15"/>
        </w:numPr>
        <w:tabs>
          <w:tab w:val="left" w:pos="426"/>
        </w:tabs>
        <w:spacing w:after="0" w:line="240" w:lineRule="auto"/>
        <w:rPr>
          <w:rFonts w:ascii="Arial" w:hAnsi="Arial" w:cs="Arial"/>
          <w:sz w:val="24"/>
          <w:szCs w:val="24"/>
        </w:rPr>
      </w:pPr>
      <w:r w:rsidRPr="005A4DB8">
        <w:rPr>
          <w:rFonts w:ascii="Arial" w:hAnsi="Arial" w:cs="Arial"/>
          <w:sz w:val="24"/>
          <w:szCs w:val="24"/>
        </w:rPr>
        <w:t xml:space="preserve">Preston City Centre developments are subject to market demand in progressing planning applications (Altus development  &amp; College House at </w:t>
      </w:r>
      <w:proofErr w:type="spellStart"/>
      <w:r w:rsidRPr="005A4DB8">
        <w:rPr>
          <w:rFonts w:ascii="Arial" w:hAnsi="Arial" w:cs="Arial"/>
          <w:sz w:val="24"/>
          <w:szCs w:val="24"/>
        </w:rPr>
        <w:t>Winckley</w:t>
      </w:r>
      <w:proofErr w:type="spellEnd"/>
      <w:r w:rsidRPr="005A4DB8">
        <w:rPr>
          <w:rFonts w:ascii="Arial" w:hAnsi="Arial" w:cs="Arial"/>
          <w:sz w:val="24"/>
          <w:szCs w:val="24"/>
        </w:rPr>
        <w:t xml:space="preserve"> Square)</w:t>
      </w:r>
    </w:p>
    <w:p w:rsidR="003C118F" w:rsidRDefault="003C118F" w:rsidP="003C118F">
      <w:pPr>
        <w:tabs>
          <w:tab w:val="left" w:pos="426"/>
        </w:tabs>
        <w:spacing w:after="0" w:line="240" w:lineRule="auto"/>
        <w:ind w:left="360" w:hanging="360"/>
        <w:rPr>
          <w:rFonts w:ascii="Arial" w:hAnsi="Arial" w:cs="Arial"/>
          <w:b/>
          <w:sz w:val="24"/>
          <w:szCs w:val="24"/>
        </w:rPr>
      </w:pPr>
    </w:p>
    <w:p w:rsidR="00914890" w:rsidRPr="005C68CD" w:rsidRDefault="00914890" w:rsidP="003C118F">
      <w:pPr>
        <w:tabs>
          <w:tab w:val="left" w:pos="426"/>
        </w:tabs>
        <w:spacing w:after="0" w:line="240" w:lineRule="auto"/>
        <w:ind w:left="360" w:hanging="360"/>
        <w:rPr>
          <w:rFonts w:ascii="Arial" w:hAnsi="Arial" w:cs="Arial"/>
          <w:b/>
          <w:sz w:val="24"/>
          <w:szCs w:val="24"/>
        </w:rPr>
      </w:pPr>
      <w:r w:rsidRPr="005C68CD">
        <w:rPr>
          <w:rFonts w:ascii="Arial" w:hAnsi="Arial" w:cs="Arial"/>
          <w:b/>
          <w:sz w:val="24"/>
          <w:szCs w:val="24"/>
        </w:rPr>
        <w:t>How we are working to progress employment sites:</w:t>
      </w:r>
    </w:p>
    <w:p w:rsidR="003C118F" w:rsidRDefault="003C118F" w:rsidP="003C118F">
      <w:pPr>
        <w:tabs>
          <w:tab w:val="left" w:pos="0"/>
        </w:tabs>
        <w:spacing w:after="0" w:line="240" w:lineRule="auto"/>
        <w:rPr>
          <w:rFonts w:ascii="Arial" w:hAnsi="Arial" w:cs="Arial"/>
          <w:sz w:val="24"/>
          <w:szCs w:val="24"/>
        </w:rPr>
      </w:pPr>
    </w:p>
    <w:p w:rsidR="00914890" w:rsidRPr="005C68CD" w:rsidRDefault="00914890" w:rsidP="003C118F">
      <w:pPr>
        <w:tabs>
          <w:tab w:val="left" w:pos="0"/>
        </w:tabs>
        <w:spacing w:after="0" w:line="240" w:lineRule="auto"/>
        <w:rPr>
          <w:rFonts w:ascii="Arial" w:hAnsi="Arial" w:cs="Arial"/>
          <w:sz w:val="24"/>
          <w:szCs w:val="24"/>
        </w:rPr>
      </w:pPr>
      <w:r w:rsidRPr="005C68CD">
        <w:rPr>
          <w:rFonts w:ascii="Arial" w:hAnsi="Arial" w:cs="Arial"/>
          <w:sz w:val="24"/>
          <w:szCs w:val="24"/>
        </w:rPr>
        <w:t>Partners are working on a number of activities to ensure that future targets are met, which include:</w:t>
      </w:r>
    </w:p>
    <w:p w:rsidR="00914890" w:rsidRPr="005C68CD" w:rsidRDefault="00914890" w:rsidP="003C118F">
      <w:pPr>
        <w:numPr>
          <w:ilvl w:val="0"/>
          <w:numId w:val="13"/>
        </w:numPr>
        <w:tabs>
          <w:tab w:val="left" w:pos="426"/>
        </w:tabs>
        <w:spacing w:after="0" w:line="240" w:lineRule="auto"/>
        <w:contextualSpacing/>
        <w:rPr>
          <w:rFonts w:ascii="Arial" w:hAnsi="Arial" w:cs="Arial"/>
          <w:sz w:val="24"/>
          <w:szCs w:val="24"/>
        </w:rPr>
      </w:pPr>
      <w:r w:rsidRPr="005C68CD">
        <w:rPr>
          <w:rFonts w:ascii="Arial" w:hAnsi="Arial" w:cs="Arial"/>
          <w:sz w:val="24"/>
          <w:szCs w:val="24"/>
        </w:rPr>
        <w:t xml:space="preserve">Delivery of </w:t>
      </w:r>
      <w:proofErr w:type="spellStart"/>
      <w:r w:rsidRPr="005C68CD">
        <w:rPr>
          <w:rFonts w:ascii="Arial" w:hAnsi="Arial" w:cs="Arial"/>
          <w:sz w:val="24"/>
          <w:szCs w:val="24"/>
        </w:rPr>
        <w:t>Cuerden</w:t>
      </w:r>
      <w:proofErr w:type="spellEnd"/>
      <w:r w:rsidRPr="005C68CD">
        <w:rPr>
          <w:rFonts w:ascii="Arial" w:hAnsi="Arial" w:cs="Arial"/>
          <w:sz w:val="24"/>
          <w:szCs w:val="24"/>
        </w:rPr>
        <w:t xml:space="preserve"> Strategic Site planning conditions and site infrastructure. </w:t>
      </w:r>
    </w:p>
    <w:p w:rsidR="00914890" w:rsidRPr="005C68CD" w:rsidRDefault="00914890" w:rsidP="003C118F">
      <w:pPr>
        <w:numPr>
          <w:ilvl w:val="0"/>
          <w:numId w:val="13"/>
        </w:numPr>
        <w:tabs>
          <w:tab w:val="left" w:pos="426"/>
        </w:tabs>
        <w:spacing w:after="0" w:line="240" w:lineRule="auto"/>
        <w:contextualSpacing/>
        <w:rPr>
          <w:rFonts w:ascii="Arial" w:hAnsi="Arial" w:cs="Arial"/>
          <w:sz w:val="24"/>
          <w:szCs w:val="24"/>
        </w:rPr>
      </w:pPr>
      <w:r w:rsidRPr="005C68CD">
        <w:rPr>
          <w:rFonts w:ascii="Arial" w:hAnsi="Arial" w:cs="Arial"/>
          <w:sz w:val="24"/>
          <w:szCs w:val="24"/>
        </w:rPr>
        <w:t>Implementation of a Marketing &amp; Communications Plan to generate investor interest, including; the representation of City Deal at MIPIM UK, the proposed launch of the Invest Central Lancashire proposition, and regular Developer &amp; Investor events.</w:t>
      </w:r>
    </w:p>
    <w:p w:rsidR="00914890" w:rsidRPr="005C68CD" w:rsidRDefault="00914890" w:rsidP="003C118F">
      <w:pPr>
        <w:numPr>
          <w:ilvl w:val="0"/>
          <w:numId w:val="13"/>
        </w:numPr>
        <w:tabs>
          <w:tab w:val="left" w:pos="426"/>
        </w:tabs>
        <w:spacing w:after="0" w:line="240" w:lineRule="auto"/>
        <w:contextualSpacing/>
        <w:rPr>
          <w:rFonts w:ascii="Arial" w:hAnsi="Arial" w:cs="Arial"/>
          <w:sz w:val="24"/>
          <w:szCs w:val="24"/>
        </w:rPr>
      </w:pPr>
      <w:r w:rsidRPr="005C68CD">
        <w:rPr>
          <w:rFonts w:ascii="Arial" w:hAnsi="Arial" w:cs="Arial"/>
          <w:sz w:val="24"/>
          <w:szCs w:val="24"/>
        </w:rPr>
        <w:t>A programmed approach to bringing forward housing sites, aided by the intervention of the Development Sites Delivery Group, including mixed-use sites where there is a commercial element.</w:t>
      </w:r>
    </w:p>
    <w:p w:rsidR="00914890" w:rsidRPr="005C68CD" w:rsidRDefault="00914890" w:rsidP="003C118F">
      <w:pPr>
        <w:numPr>
          <w:ilvl w:val="0"/>
          <w:numId w:val="13"/>
        </w:numPr>
        <w:tabs>
          <w:tab w:val="left" w:pos="426"/>
        </w:tabs>
        <w:spacing w:after="0" w:line="240" w:lineRule="auto"/>
        <w:contextualSpacing/>
        <w:rPr>
          <w:rFonts w:ascii="Arial" w:hAnsi="Arial" w:cs="Arial"/>
          <w:sz w:val="24"/>
          <w:szCs w:val="24"/>
        </w:rPr>
      </w:pPr>
      <w:r w:rsidRPr="005C68CD">
        <w:rPr>
          <w:rFonts w:ascii="Arial" w:hAnsi="Arial" w:cs="Arial"/>
          <w:sz w:val="24"/>
          <w:szCs w:val="24"/>
        </w:rPr>
        <w:t xml:space="preserve">Additional planning capacity provided through the successful HCA Capacity Fund bid including the appointment of a Preston Housing Zone Programme Manager. </w:t>
      </w:r>
    </w:p>
    <w:p w:rsidR="00914890" w:rsidRDefault="00914890" w:rsidP="003C118F">
      <w:pPr>
        <w:tabs>
          <w:tab w:val="left" w:pos="426"/>
        </w:tabs>
        <w:spacing w:after="0" w:line="240" w:lineRule="auto"/>
        <w:rPr>
          <w:rFonts w:ascii="Arial" w:hAnsi="Arial" w:cs="Arial"/>
          <w:sz w:val="24"/>
          <w:szCs w:val="24"/>
        </w:rPr>
      </w:pPr>
    </w:p>
    <w:p w:rsidR="00914890" w:rsidRPr="005C68CD" w:rsidRDefault="00914890" w:rsidP="003C118F">
      <w:pPr>
        <w:tabs>
          <w:tab w:val="left" w:pos="426"/>
        </w:tabs>
        <w:spacing w:after="0" w:line="240" w:lineRule="auto"/>
        <w:rPr>
          <w:rFonts w:ascii="Arial" w:hAnsi="Arial" w:cs="Arial"/>
          <w:sz w:val="24"/>
          <w:szCs w:val="24"/>
        </w:rPr>
      </w:pPr>
      <w:r w:rsidRPr="005C68CD">
        <w:rPr>
          <w:rFonts w:ascii="Arial" w:hAnsi="Arial" w:cs="Arial"/>
          <w:sz w:val="24"/>
          <w:szCs w:val="24"/>
        </w:rPr>
        <w:t>Project activity continues to expedite specific site development matters including;</w:t>
      </w:r>
    </w:p>
    <w:p w:rsidR="00914890" w:rsidRPr="005A4DB8" w:rsidRDefault="00914890" w:rsidP="003C118F">
      <w:pPr>
        <w:pStyle w:val="ListParagraph"/>
        <w:numPr>
          <w:ilvl w:val="0"/>
          <w:numId w:val="16"/>
        </w:numPr>
        <w:tabs>
          <w:tab w:val="left" w:pos="426"/>
        </w:tabs>
        <w:spacing w:after="0" w:line="240" w:lineRule="auto"/>
        <w:rPr>
          <w:rFonts w:ascii="Arial" w:hAnsi="Arial" w:cs="Arial"/>
          <w:sz w:val="24"/>
          <w:szCs w:val="24"/>
        </w:rPr>
      </w:pPr>
      <w:r w:rsidRPr="005A4DB8">
        <w:rPr>
          <w:rFonts w:ascii="Arial" w:hAnsi="Arial" w:cs="Arial"/>
          <w:sz w:val="24"/>
          <w:szCs w:val="24"/>
        </w:rPr>
        <w:t xml:space="preserve">Retail end uses at Whittingham Hospital is being considered for removal as part of a planning variation. </w:t>
      </w:r>
    </w:p>
    <w:p w:rsidR="00914890" w:rsidRPr="005A4DB8" w:rsidRDefault="00914890" w:rsidP="003C118F">
      <w:pPr>
        <w:pStyle w:val="ListParagraph"/>
        <w:numPr>
          <w:ilvl w:val="0"/>
          <w:numId w:val="16"/>
        </w:numPr>
        <w:tabs>
          <w:tab w:val="left" w:pos="426"/>
        </w:tabs>
        <w:spacing w:after="0" w:line="240" w:lineRule="auto"/>
        <w:rPr>
          <w:rFonts w:ascii="Arial" w:hAnsi="Arial" w:cs="Arial"/>
          <w:sz w:val="24"/>
          <w:szCs w:val="24"/>
        </w:rPr>
      </w:pPr>
      <w:r w:rsidRPr="005A4DB8">
        <w:rPr>
          <w:rFonts w:ascii="Arial" w:hAnsi="Arial" w:cs="Arial"/>
          <w:sz w:val="24"/>
          <w:szCs w:val="24"/>
        </w:rPr>
        <w:t xml:space="preserve">The extended sales process for Bluebell Way has resulted in positive engagement with a new interested party and LCC/HCA are progressing the contract.  </w:t>
      </w:r>
    </w:p>
    <w:p w:rsidR="00914890" w:rsidRPr="005A4DB8" w:rsidRDefault="00914890" w:rsidP="003C118F">
      <w:pPr>
        <w:pStyle w:val="ListParagraph"/>
        <w:numPr>
          <w:ilvl w:val="0"/>
          <w:numId w:val="16"/>
        </w:numPr>
        <w:tabs>
          <w:tab w:val="left" w:pos="426"/>
        </w:tabs>
        <w:spacing w:after="0" w:line="240" w:lineRule="auto"/>
        <w:rPr>
          <w:rFonts w:ascii="Arial" w:hAnsi="Arial" w:cs="Arial"/>
          <w:sz w:val="24"/>
          <w:szCs w:val="24"/>
        </w:rPr>
      </w:pPr>
      <w:r w:rsidRPr="005A4DB8">
        <w:rPr>
          <w:rFonts w:ascii="Arial" w:hAnsi="Arial" w:cs="Arial"/>
          <w:sz w:val="24"/>
          <w:szCs w:val="24"/>
        </w:rPr>
        <w:t xml:space="preserve">College House – Following the carrying out of essential repairs by the landlord, Preston City Council have only limited powers to encourage the property to be developed. Consideration will be given to possible </w:t>
      </w:r>
      <w:proofErr w:type="spellStart"/>
      <w:r w:rsidRPr="005A4DB8">
        <w:rPr>
          <w:rFonts w:ascii="Arial" w:hAnsi="Arial" w:cs="Arial"/>
          <w:sz w:val="24"/>
          <w:szCs w:val="24"/>
        </w:rPr>
        <w:t>Winckley</w:t>
      </w:r>
      <w:proofErr w:type="spellEnd"/>
      <w:r w:rsidRPr="005A4DB8">
        <w:rPr>
          <w:rFonts w:ascii="Arial" w:hAnsi="Arial" w:cs="Arial"/>
          <w:sz w:val="24"/>
          <w:szCs w:val="24"/>
        </w:rPr>
        <w:t xml:space="preserve"> Square Townscape Heritage Initiative grant funding should opportunities arise and a business case can be made.    </w:t>
      </w:r>
    </w:p>
    <w:p w:rsidR="00914890" w:rsidRPr="005A4DB8" w:rsidRDefault="00914890" w:rsidP="003C118F">
      <w:pPr>
        <w:pStyle w:val="ListParagraph"/>
        <w:numPr>
          <w:ilvl w:val="0"/>
          <w:numId w:val="16"/>
        </w:numPr>
        <w:tabs>
          <w:tab w:val="left" w:pos="426"/>
        </w:tabs>
        <w:spacing w:after="0" w:line="240" w:lineRule="auto"/>
        <w:rPr>
          <w:rFonts w:ascii="Arial" w:hAnsi="Arial" w:cs="Arial"/>
          <w:sz w:val="24"/>
          <w:szCs w:val="24"/>
        </w:rPr>
      </w:pPr>
      <w:r w:rsidRPr="005A4DB8">
        <w:rPr>
          <w:rFonts w:ascii="Arial" w:hAnsi="Arial" w:cs="Arial"/>
          <w:sz w:val="24"/>
          <w:szCs w:val="24"/>
        </w:rPr>
        <w:t xml:space="preserve">The Altus site in Preston City Centre continues to be strongly marketed through City Deal and is featured in the Invest Central Lancashire proposition launch. </w:t>
      </w:r>
    </w:p>
    <w:p w:rsidR="003C118F" w:rsidRDefault="003C118F" w:rsidP="003C118F">
      <w:pPr>
        <w:spacing w:after="0" w:line="240" w:lineRule="auto"/>
        <w:rPr>
          <w:rFonts w:ascii="Arial" w:hAnsi="Arial" w:cs="Arial"/>
          <w:b/>
          <w:sz w:val="24"/>
          <w:szCs w:val="24"/>
        </w:rPr>
      </w:pPr>
    </w:p>
    <w:p w:rsidR="003C118F" w:rsidRDefault="003C118F" w:rsidP="003C118F">
      <w:pPr>
        <w:spacing w:after="0" w:line="240" w:lineRule="auto"/>
        <w:rPr>
          <w:rFonts w:ascii="Arial" w:hAnsi="Arial" w:cs="Arial"/>
          <w:b/>
          <w:sz w:val="24"/>
          <w:szCs w:val="24"/>
        </w:rPr>
      </w:pPr>
    </w:p>
    <w:p w:rsidR="00914890" w:rsidRDefault="00914890" w:rsidP="003C118F">
      <w:pPr>
        <w:spacing w:after="0" w:line="240" w:lineRule="auto"/>
        <w:rPr>
          <w:rFonts w:ascii="Arial" w:hAnsi="Arial" w:cs="Arial"/>
          <w:b/>
          <w:sz w:val="24"/>
          <w:szCs w:val="24"/>
        </w:rPr>
      </w:pPr>
      <w:r w:rsidRPr="005C68CD">
        <w:rPr>
          <w:rFonts w:ascii="Arial" w:hAnsi="Arial" w:cs="Arial"/>
          <w:b/>
          <w:sz w:val="24"/>
          <w:szCs w:val="24"/>
        </w:rPr>
        <w:t xml:space="preserve">Jobs related to commercial </w:t>
      </w:r>
      <w:proofErr w:type="spellStart"/>
      <w:r w:rsidRPr="005C68CD">
        <w:rPr>
          <w:rFonts w:ascii="Arial" w:hAnsi="Arial" w:cs="Arial"/>
          <w:b/>
          <w:sz w:val="24"/>
          <w:szCs w:val="24"/>
        </w:rPr>
        <w:t>floorspace</w:t>
      </w:r>
      <w:proofErr w:type="spellEnd"/>
    </w:p>
    <w:p w:rsidR="003C118F" w:rsidRPr="005C68CD" w:rsidRDefault="003C118F" w:rsidP="003C118F">
      <w:pPr>
        <w:spacing w:after="0" w:line="240" w:lineRule="auto"/>
        <w:rPr>
          <w:rFonts w:ascii="Arial" w:hAnsi="Arial" w:cs="Arial"/>
          <w:b/>
          <w:sz w:val="24"/>
          <w:szCs w:val="24"/>
        </w:rPr>
      </w:pPr>
    </w:p>
    <w:p w:rsidR="00914890" w:rsidRPr="005C68CD" w:rsidRDefault="00914890" w:rsidP="003C118F">
      <w:pPr>
        <w:spacing w:after="0" w:line="240" w:lineRule="auto"/>
        <w:rPr>
          <w:rFonts w:ascii="Arial" w:hAnsi="Arial" w:cs="Arial"/>
          <w:sz w:val="24"/>
          <w:szCs w:val="24"/>
        </w:rPr>
      </w:pPr>
      <w:r w:rsidRPr="005C68CD">
        <w:rPr>
          <w:rFonts w:ascii="Arial" w:hAnsi="Arial" w:cs="Arial"/>
          <w:sz w:val="24"/>
          <w:szCs w:val="24"/>
        </w:rPr>
        <w:t>There have been a total of 60 jobs in Year 4 1</w:t>
      </w:r>
      <w:r w:rsidRPr="005C68CD">
        <w:rPr>
          <w:rFonts w:ascii="Arial" w:hAnsi="Arial" w:cs="Arial"/>
          <w:sz w:val="24"/>
          <w:szCs w:val="24"/>
          <w:vertAlign w:val="superscript"/>
        </w:rPr>
        <w:t>st</w:t>
      </w:r>
      <w:r w:rsidRPr="005C68CD">
        <w:rPr>
          <w:rFonts w:ascii="Arial" w:hAnsi="Arial" w:cs="Arial"/>
          <w:sz w:val="24"/>
          <w:szCs w:val="24"/>
        </w:rPr>
        <w:t xml:space="preserve"> 6 months associated with City Deal commercial </w:t>
      </w:r>
      <w:proofErr w:type="spellStart"/>
      <w:r w:rsidRPr="005C68CD">
        <w:rPr>
          <w:rFonts w:ascii="Arial" w:hAnsi="Arial" w:cs="Arial"/>
          <w:sz w:val="24"/>
          <w:szCs w:val="24"/>
        </w:rPr>
        <w:t>floorspace</w:t>
      </w:r>
      <w:proofErr w:type="spellEnd"/>
      <w:r w:rsidRPr="005C68CD">
        <w:rPr>
          <w:rFonts w:ascii="Arial" w:hAnsi="Arial" w:cs="Arial"/>
          <w:sz w:val="24"/>
          <w:szCs w:val="24"/>
        </w:rPr>
        <w:t xml:space="preserve"> completions compared with a target of 10 jobs. </w:t>
      </w:r>
    </w:p>
    <w:p w:rsidR="00914890" w:rsidRPr="005C68CD" w:rsidRDefault="00914890" w:rsidP="003C118F">
      <w:pPr>
        <w:spacing w:after="0" w:line="240" w:lineRule="auto"/>
        <w:rPr>
          <w:rFonts w:ascii="Arial" w:hAnsi="Arial" w:cs="Arial"/>
          <w:sz w:val="24"/>
          <w:szCs w:val="24"/>
        </w:rPr>
      </w:pPr>
      <w:r w:rsidRPr="005C68CD">
        <w:rPr>
          <w:rFonts w:ascii="Arial" w:hAnsi="Arial" w:cs="Arial"/>
          <w:sz w:val="24"/>
          <w:szCs w:val="24"/>
        </w:rPr>
        <w:t xml:space="preserve">This excludes employment associated with the apprenticeships, for which data is not yet available due to academic years, and lettings at existing commercial premises which is collected on an annual basis.   </w:t>
      </w:r>
    </w:p>
    <w:p w:rsidR="00914890" w:rsidRPr="005C68CD" w:rsidRDefault="00914890" w:rsidP="003C118F">
      <w:pPr>
        <w:spacing w:after="0" w:line="240" w:lineRule="auto"/>
        <w:rPr>
          <w:rFonts w:ascii="Arial" w:hAnsi="Arial" w:cs="Arial"/>
          <w:sz w:val="24"/>
          <w:szCs w:val="24"/>
        </w:rPr>
      </w:pPr>
      <w:r w:rsidRPr="005C68CD">
        <w:rPr>
          <w:rFonts w:ascii="Arial" w:hAnsi="Arial" w:cs="Arial"/>
          <w:sz w:val="24"/>
          <w:szCs w:val="24"/>
        </w:rPr>
        <w:t xml:space="preserve">Other complementary employment includes; </w:t>
      </w:r>
    </w:p>
    <w:p w:rsidR="00914890" w:rsidRPr="005C68CD" w:rsidRDefault="00914890" w:rsidP="003C118F">
      <w:pPr>
        <w:numPr>
          <w:ilvl w:val="0"/>
          <w:numId w:val="10"/>
        </w:numPr>
        <w:spacing w:after="0" w:line="240" w:lineRule="auto"/>
        <w:contextualSpacing/>
        <w:rPr>
          <w:rFonts w:ascii="Arial" w:hAnsi="Arial" w:cs="Arial"/>
          <w:sz w:val="24"/>
          <w:szCs w:val="24"/>
        </w:rPr>
      </w:pPr>
      <w:r w:rsidRPr="005C68CD">
        <w:rPr>
          <w:rFonts w:ascii="Arial" w:hAnsi="Arial" w:cs="Arial"/>
          <w:sz w:val="24"/>
          <w:szCs w:val="24"/>
        </w:rPr>
        <w:t xml:space="preserve">80 jobs associated with infrastructure projects. </w:t>
      </w:r>
    </w:p>
    <w:p w:rsidR="00914890" w:rsidRPr="005C68CD" w:rsidRDefault="00914890" w:rsidP="003C118F">
      <w:pPr>
        <w:numPr>
          <w:ilvl w:val="0"/>
          <w:numId w:val="10"/>
        </w:numPr>
        <w:spacing w:after="0" w:line="240" w:lineRule="auto"/>
        <w:contextualSpacing/>
        <w:rPr>
          <w:rFonts w:ascii="Arial" w:hAnsi="Arial" w:cs="Arial"/>
          <w:sz w:val="24"/>
          <w:szCs w:val="24"/>
        </w:rPr>
      </w:pPr>
      <w:r w:rsidRPr="005C68CD">
        <w:rPr>
          <w:rFonts w:ascii="Arial" w:hAnsi="Arial" w:cs="Arial"/>
          <w:sz w:val="24"/>
          <w:szCs w:val="24"/>
        </w:rPr>
        <w:t xml:space="preserve">95 jobs created through business support activities.     </w:t>
      </w:r>
    </w:p>
    <w:p w:rsidR="00914890" w:rsidRDefault="00914890" w:rsidP="003C118F">
      <w:pPr>
        <w:spacing w:after="0" w:line="240" w:lineRule="auto"/>
        <w:rPr>
          <w:rFonts w:ascii="Arial" w:hAnsi="Arial" w:cs="Arial"/>
          <w:sz w:val="24"/>
          <w:szCs w:val="24"/>
        </w:rPr>
      </w:pPr>
    </w:p>
    <w:p w:rsidR="00914890" w:rsidRDefault="00914890" w:rsidP="003C118F">
      <w:pPr>
        <w:spacing w:after="0" w:line="240" w:lineRule="auto"/>
        <w:rPr>
          <w:rFonts w:ascii="Arial" w:hAnsi="Arial" w:cs="Arial"/>
          <w:sz w:val="24"/>
          <w:szCs w:val="24"/>
        </w:rPr>
      </w:pPr>
      <w:r w:rsidRPr="005C68CD">
        <w:rPr>
          <w:rFonts w:ascii="Arial" w:hAnsi="Arial" w:cs="Arial"/>
          <w:sz w:val="24"/>
          <w:szCs w:val="24"/>
        </w:rPr>
        <w:t xml:space="preserve">The main risks and mitigation are largely linked to the delivery of the commercial sites, which are currently progressing well. </w:t>
      </w:r>
    </w:p>
    <w:p w:rsidR="003C118F" w:rsidRPr="005C68CD" w:rsidRDefault="003C118F" w:rsidP="003C118F">
      <w:pPr>
        <w:spacing w:after="0" w:line="240" w:lineRule="auto"/>
        <w:rPr>
          <w:rFonts w:ascii="Arial" w:hAnsi="Arial" w:cs="Arial"/>
          <w:sz w:val="24"/>
          <w:szCs w:val="24"/>
        </w:rPr>
      </w:pPr>
    </w:p>
    <w:p w:rsidR="00914890" w:rsidRDefault="00914890" w:rsidP="003C118F">
      <w:pPr>
        <w:tabs>
          <w:tab w:val="left" w:pos="426"/>
        </w:tabs>
        <w:spacing w:after="0" w:line="240" w:lineRule="auto"/>
        <w:rPr>
          <w:rFonts w:ascii="Arial" w:hAnsi="Arial" w:cs="Arial"/>
          <w:sz w:val="24"/>
          <w:szCs w:val="24"/>
        </w:rPr>
      </w:pPr>
      <w:r w:rsidRPr="005C68CD">
        <w:rPr>
          <w:rFonts w:ascii="Arial" w:hAnsi="Arial" w:cs="Arial"/>
          <w:sz w:val="24"/>
          <w:szCs w:val="24"/>
        </w:rPr>
        <w:t>Outputs will continue to be focussed on these established sites, whilst the development of mixed-use sites and other large employment sites will support the next phase of jobs outputs.</w:t>
      </w:r>
    </w:p>
    <w:p w:rsidR="003C118F" w:rsidRPr="005C68CD" w:rsidRDefault="003C118F" w:rsidP="003C118F">
      <w:pPr>
        <w:tabs>
          <w:tab w:val="left" w:pos="426"/>
        </w:tabs>
        <w:spacing w:after="0" w:line="240" w:lineRule="auto"/>
        <w:rPr>
          <w:rFonts w:ascii="Arial" w:hAnsi="Arial" w:cs="Arial"/>
          <w:sz w:val="24"/>
          <w:szCs w:val="24"/>
        </w:rPr>
      </w:pPr>
    </w:p>
    <w:p w:rsidR="003C118F" w:rsidRDefault="00914890" w:rsidP="003C118F">
      <w:pPr>
        <w:tabs>
          <w:tab w:val="left" w:pos="426"/>
        </w:tabs>
        <w:spacing w:after="0" w:line="240" w:lineRule="auto"/>
        <w:rPr>
          <w:rFonts w:ascii="Arial" w:hAnsi="Arial" w:cs="Arial"/>
          <w:sz w:val="24"/>
          <w:szCs w:val="24"/>
        </w:rPr>
      </w:pPr>
      <w:r w:rsidRPr="005C68CD">
        <w:rPr>
          <w:rFonts w:ascii="Arial" w:hAnsi="Arial" w:cs="Arial"/>
          <w:sz w:val="24"/>
          <w:szCs w:val="24"/>
        </w:rPr>
        <w:t xml:space="preserve">As additional mitigation, and specific to skills and employment, the Central Lancashire Authorities have consulted on a Supplementary Planning Document </w:t>
      </w:r>
      <w:r>
        <w:rPr>
          <w:rFonts w:ascii="Arial" w:hAnsi="Arial" w:cs="Arial"/>
          <w:sz w:val="24"/>
          <w:szCs w:val="24"/>
        </w:rPr>
        <w:t xml:space="preserve">(SPD) </w:t>
      </w:r>
      <w:r w:rsidRPr="005C68CD">
        <w:rPr>
          <w:rFonts w:ascii="Arial" w:hAnsi="Arial" w:cs="Arial"/>
          <w:sz w:val="24"/>
          <w:szCs w:val="24"/>
        </w:rPr>
        <w:t xml:space="preserve">on Employment and Skills which is aimed at promoting the Social Value agenda, and which has now been adopted. </w:t>
      </w:r>
      <w:r>
        <w:rPr>
          <w:rFonts w:ascii="Arial" w:hAnsi="Arial" w:cs="Arial"/>
          <w:sz w:val="24"/>
          <w:szCs w:val="24"/>
        </w:rPr>
        <w:t xml:space="preserve"> The </w:t>
      </w:r>
      <w:proofErr w:type="spellStart"/>
      <w:r>
        <w:rPr>
          <w:rFonts w:ascii="Arial" w:hAnsi="Arial" w:cs="Arial"/>
          <w:sz w:val="24"/>
          <w:szCs w:val="24"/>
        </w:rPr>
        <w:t>Cuerden</w:t>
      </w:r>
      <w:proofErr w:type="spellEnd"/>
      <w:r>
        <w:rPr>
          <w:rFonts w:ascii="Arial" w:hAnsi="Arial" w:cs="Arial"/>
          <w:sz w:val="24"/>
          <w:szCs w:val="24"/>
        </w:rPr>
        <w:t xml:space="preserve"> Strategic Site will be an early project to implement this SPD and for which a funded Skills </w:t>
      </w:r>
      <w:r w:rsidR="003C118F">
        <w:rPr>
          <w:rFonts w:ascii="Arial" w:hAnsi="Arial" w:cs="Arial"/>
          <w:sz w:val="24"/>
          <w:szCs w:val="24"/>
        </w:rPr>
        <w:t>Coordinator will be appointed.</w:t>
      </w:r>
    </w:p>
    <w:p w:rsidR="003C118F" w:rsidRDefault="003C118F" w:rsidP="003C118F">
      <w:pPr>
        <w:tabs>
          <w:tab w:val="left" w:pos="426"/>
        </w:tabs>
        <w:spacing w:after="0" w:line="240" w:lineRule="auto"/>
        <w:rPr>
          <w:rFonts w:ascii="Arial" w:hAnsi="Arial" w:cs="Arial"/>
          <w:sz w:val="24"/>
          <w:szCs w:val="24"/>
        </w:rPr>
      </w:pPr>
    </w:p>
    <w:p w:rsidR="00914890" w:rsidRDefault="00914890" w:rsidP="003C118F">
      <w:pPr>
        <w:tabs>
          <w:tab w:val="left" w:pos="426"/>
        </w:tabs>
        <w:spacing w:after="0" w:line="240" w:lineRule="auto"/>
        <w:rPr>
          <w:rFonts w:ascii="Arial" w:hAnsi="Arial" w:cs="Arial"/>
          <w:sz w:val="24"/>
          <w:szCs w:val="24"/>
        </w:rPr>
      </w:pPr>
      <w:r>
        <w:rPr>
          <w:rFonts w:ascii="Arial" w:hAnsi="Arial" w:cs="Arial"/>
          <w:sz w:val="24"/>
          <w:szCs w:val="24"/>
        </w:rPr>
        <w:t>The table below provides a breakdown of jobs targets and outputs.</w:t>
      </w:r>
    </w:p>
    <w:p w:rsidR="003C118F" w:rsidRPr="005C68CD" w:rsidRDefault="003C118F" w:rsidP="003C118F">
      <w:pPr>
        <w:tabs>
          <w:tab w:val="left" w:pos="426"/>
        </w:tabs>
        <w:spacing w:after="0" w:line="240" w:lineRule="auto"/>
        <w:rPr>
          <w:rFonts w:ascii="Arial" w:hAnsi="Arial" w:cs="Arial"/>
          <w:sz w:val="24"/>
          <w:szCs w:val="24"/>
        </w:rPr>
      </w:pPr>
    </w:p>
    <w:p w:rsidR="00914890" w:rsidRPr="005C68CD" w:rsidRDefault="00914890" w:rsidP="003C118F">
      <w:pPr>
        <w:spacing w:after="0" w:line="240" w:lineRule="auto"/>
        <w:ind w:left="284" w:hanging="426"/>
        <w:rPr>
          <w:rFonts w:ascii="Arial" w:hAnsi="Arial" w:cs="Arial"/>
          <w:b/>
          <w:sz w:val="24"/>
          <w:szCs w:val="24"/>
        </w:rPr>
      </w:pPr>
      <w:r w:rsidRPr="005C68CD">
        <w:rPr>
          <w:rFonts w:ascii="Arial" w:hAnsi="Arial" w:cs="Arial"/>
          <w:b/>
          <w:sz w:val="24"/>
          <w:szCs w:val="24"/>
        </w:rPr>
        <w:t>Table 4:  Jobs – outputs</w:t>
      </w:r>
    </w:p>
    <w:tbl>
      <w:tblPr>
        <w:tblStyle w:val="TableGrid11"/>
        <w:tblW w:w="5000" w:type="pct"/>
        <w:tblLayout w:type="fixed"/>
        <w:tblLook w:val="04A0" w:firstRow="1" w:lastRow="0" w:firstColumn="1" w:lastColumn="0" w:noHBand="0" w:noVBand="1"/>
      </w:tblPr>
      <w:tblGrid>
        <w:gridCol w:w="4248"/>
        <w:gridCol w:w="1701"/>
        <w:gridCol w:w="1417"/>
        <w:gridCol w:w="1650"/>
      </w:tblGrid>
      <w:tr w:rsidR="00914890" w:rsidRPr="005C68CD" w:rsidTr="00914890">
        <w:tc>
          <w:tcPr>
            <w:tcW w:w="4248" w:type="dxa"/>
            <w:tcBorders>
              <w:top w:val="single" w:sz="4" w:space="0" w:color="auto"/>
              <w:left w:val="single" w:sz="4" w:space="0" w:color="auto"/>
              <w:bottom w:val="single" w:sz="4" w:space="0" w:color="auto"/>
              <w:right w:val="single" w:sz="4" w:space="0" w:color="auto"/>
            </w:tcBorders>
            <w:hideMark/>
          </w:tcPr>
          <w:p w:rsidR="00914890" w:rsidRPr="005C68CD" w:rsidRDefault="00914890" w:rsidP="003C118F">
            <w:pPr>
              <w:rPr>
                <w:rFonts w:ascii="Arial" w:hAnsi="Arial" w:cs="Arial"/>
                <w:b/>
                <w:sz w:val="24"/>
                <w:szCs w:val="24"/>
              </w:rPr>
            </w:pPr>
            <w:r w:rsidRPr="005C68CD">
              <w:rPr>
                <w:rFonts w:ascii="Arial" w:hAnsi="Arial" w:cs="Arial"/>
                <w:b/>
                <w:sz w:val="24"/>
                <w:szCs w:val="24"/>
              </w:rPr>
              <w:t>Jobs outputs</w:t>
            </w:r>
          </w:p>
        </w:tc>
        <w:tc>
          <w:tcPr>
            <w:tcW w:w="1701" w:type="dxa"/>
            <w:tcBorders>
              <w:top w:val="single" w:sz="4" w:space="0" w:color="auto"/>
              <w:left w:val="single" w:sz="4" w:space="0" w:color="auto"/>
              <w:bottom w:val="single" w:sz="4" w:space="0" w:color="auto"/>
              <w:right w:val="single" w:sz="4" w:space="0" w:color="auto"/>
            </w:tcBorders>
            <w:hideMark/>
          </w:tcPr>
          <w:p w:rsidR="00914890" w:rsidRPr="005C68CD" w:rsidRDefault="00914890" w:rsidP="003C118F">
            <w:pPr>
              <w:jc w:val="center"/>
              <w:rPr>
                <w:rFonts w:ascii="Arial" w:hAnsi="Arial" w:cs="Arial"/>
                <w:b/>
                <w:sz w:val="24"/>
                <w:szCs w:val="24"/>
              </w:rPr>
            </w:pPr>
            <w:r w:rsidRPr="005C68CD">
              <w:rPr>
                <w:rFonts w:ascii="Arial" w:hAnsi="Arial" w:cs="Arial"/>
                <w:b/>
                <w:sz w:val="24"/>
                <w:szCs w:val="24"/>
              </w:rPr>
              <w:t xml:space="preserve">17/18 </w:t>
            </w:r>
          </w:p>
          <w:p w:rsidR="00914890" w:rsidRPr="005C68CD" w:rsidRDefault="00914890" w:rsidP="003C118F">
            <w:pPr>
              <w:jc w:val="center"/>
              <w:rPr>
                <w:rFonts w:ascii="Arial" w:hAnsi="Arial" w:cs="Arial"/>
                <w:b/>
                <w:sz w:val="24"/>
                <w:szCs w:val="24"/>
              </w:rPr>
            </w:pPr>
            <w:r w:rsidRPr="005C68CD">
              <w:rPr>
                <w:rFonts w:ascii="Arial" w:hAnsi="Arial" w:cs="Arial"/>
                <w:b/>
                <w:sz w:val="24"/>
                <w:szCs w:val="24"/>
              </w:rPr>
              <w:t>(Q1-2) Trajectory</w:t>
            </w:r>
          </w:p>
        </w:tc>
        <w:tc>
          <w:tcPr>
            <w:tcW w:w="1417" w:type="dxa"/>
            <w:tcBorders>
              <w:top w:val="single" w:sz="4" w:space="0" w:color="auto"/>
              <w:left w:val="single" w:sz="4" w:space="0" w:color="auto"/>
              <w:bottom w:val="single" w:sz="4" w:space="0" w:color="auto"/>
              <w:right w:val="single" w:sz="4" w:space="0" w:color="auto"/>
            </w:tcBorders>
            <w:hideMark/>
          </w:tcPr>
          <w:p w:rsidR="00914890" w:rsidRPr="005C68CD" w:rsidRDefault="00914890" w:rsidP="003C118F">
            <w:pPr>
              <w:jc w:val="center"/>
              <w:rPr>
                <w:rFonts w:ascii="Arial" w:hAnsi="Arial" w:cs="Arial"/>
                <w:b/>
                <w:sz w:val="24"/>
                <w:szCs w:val="24"/>
              </w:rPr>
            </w:pPr>
            <w:r w:rsidRPr="005C68CD">
              <w:rPr>
                <w:rFonts w:ascii="Arial" w:hAnsi="Arial" w:cs="Arial"/>
                <w:b/>
                <w:sz w:val="24"/>
                <w:szCs w:val="24"/>
              </w:rPr>
              <w:t xml:space="preserve">17/18 </w:t>
            </w:r>
          </w:p>
          <w:p w:rsidR="00914890" w:rsidRPr="005C68CD" w:rsidRDefault="00914890" w:rsidP="003C118F">
            <w:pPr>
              <w:jc w:val="center"/>
              <w:rPr>
                <w:rFonts w:ascii="Arial" w:hAnsi="Arial" w:cs="Arial"/>
                <w:b/>
                <w:sz w:val="24"/>
                <w:szCs w:val="24"/>
              </w:rPr>
            </w:pPr>
            <w:r w:rsidRPr="005C68CD">
              <w:rPr>
                <w:rFonts w:ascii="Arial" w:hAnsi="Arial" w:cs="Arial"/>
                <w:b/>
                <w:sz w:val="24"/>
                <w:szCs w:val="24"/>
              </w:rPr>
              <w:t>(Q1-2)</w:t>
            </w:r>
          </w:p>
          <w:p w:rsidR="00914890" w:rsidRPr="005C68CD" w:rsidRDefault="00914890" w:rsidP="003C118F">
            <w:pPr>
              <w:jc w:val="center"/>
              <w:rPr>
                <w:rFonts w:ascii="Arial" w:hAnsi="Arial" w:cs="Arial"/>
                <w:b/>
                <w:sz w:val="24"/>
                <w:szCs w:val="24"/>
              </w:rPr>
            </w:pPr>
            <w:r w:rsidRPr="005C68CD">
              <w:rPr>
                <w:rFonts w:ascii="Arial" w:hAnsi="Arial" w:cs="Arial"/>
                <w:b/>
                <w:sz w:val="24"/>
                <w:szCs w:val="24"/>
              </w:rPr>
              <w:t>Actual</w:t>
            </w:r>
          </w:p>
        </w:tc>
        <w:tc>
          <w:tcPr>
            <w:tcW w:w="1650" w:type="dxa"/>
            <w:tcBorders>
              <w:top w:val="single" w:sz="4" w:space="0" w:color="auto"/>
              <w:left w:val="single" w:sz="4" w:space="0" w:color="auto"/>
              <w:bottom w:val="single" w:sz="4" w:space="0" w:color="auto"/>
              <w:right w:val="single" w:sz="4" w:space="0" w:color="auto"/>
            </w:tcBorders>
            <w:hideMark/>
          </w:tcPr>
          <w:p w:rsidR="00914890" w:rsidRPr="005C68CD" w:rsidRDefault="00914890" w:rsidP="003C118F">
            <w:pPr>
              <w:jc w:val="center"/>
              <w:rPr>
                <w:rFonts w:ascii="Arial" w:hAnsi="Arial" w:cs="Arial"/>
                <w:b/>
                <w:sz w:val="24"/>
                <w:szCs w:val="24"/>
              </w:rPr>
            </w:pPr>
            <w:r w:rsidRPr="005C68CD">
              <w:rPr>
                <w:rFonts w:ascii="Arial" w:hAnsi="Arial" w:cs="Arial"/>
                <w:b/>
                <w:sz w:val="24"/>
                <w:szCs w:val="24"/>
              </w:rPr>
              <w:t xml:space="preserve">  All Years Cumulative Variance </w:t>
            </w:r>
          </w:p>
        </w:tc>
      </w:tr>
      <w:tr w:rsidR="00914890" w:rsidRPr="005C68CD" w:rsidTr="00914890">
        <w:tc>
          <w:tcPr>
            <w:tcW w:w="4248" w:type="dxa"/>
            <w:tcBorders>
              <w:top w:val="single" w:sz="4" w:space="0" w:color="auto"/>
              <w:left w:val="single" w:sz="4" w:space="0" w:color="auto"/>
              <w:bottom w:val="single" w:sz="4" w:space="0" w:color="auto"/>
              <w:right w:val="single" w:sz="4" w:space="0" w:color="auto"/>
            </w:tcBorders>
            <w:hideMark/>
          </w:tcPr>
          <w:p w:rsidR="00914890" w:rsidRPr="005C68CD" w:rsidRDefault="00914890" w:rsidP="003C118F">
            <w:pPr>
              <w:rPr>
                <w:rFonts w:ascii="Arial" w:hAnsi="Arial" w:cs="Arial"/>
                <w:sz w:val="24"/>
                <w:szCs w:val="24"/>
              </w:rPr>
            </w:pPr>
            <w:r w:rsidRPr="005C68CD">
              <w:rPr>
                <w:rFonts w:ascii="Arial" w:hAnsi="Arial" w:cs="Arial"/>
                <w:sz w:val="24"/>
                <w:szCs w:val="24"/>
              </w:rPr>
              <w:t>Jobs accommodated</w:t>
            </w:r>
          </w:p>
          <w:p w:rsidR="00914890" w:rsidRPr="005C68CD" w:rsidRDefault="00914890" w:rsidP="003C118F">
            <w:pPr>
              <w:numPr>
                <w:ilvl w:val="0"/>
                <w:numId w:val="7"/>
              </w:numPr>
              <w:rPr>
                <w:rFonts w:ascii="Arial" w:hAnsi="Arial" w:cs="Arial"/>
                <w:sz w:val="24"/>
                <w:szCs w:val="24"/>
              </w:rPr>
            </w:pPr>
            <w:r w:rsidRPr="005C68CD">
              <w:rPr>
                <w:rFonts w:ascii="Arial" w:hAnsi="Arial" w:cs="Arial"/>
                <w:sz w:val="24"/>
                <w:szCs w:val="24"/>
              </w:rPr>
              <w:t xml:space="preserve">Via commercial </w:t>
            </w:r>
            <w:proofErr w:type="spellStart"/>
            <w:r w:rsidRPr="005C68CD">
              <w:rPr>
                <w:rFonts w:ascii="Arial" w:hAnsi="Arial" w:cs="Arial"/>
                <w:sz w:val="24"/>
                <w:szCs w:val="24"/>
              </w:rPr>
              <w:t>floorspace</w:t>
            </w:r>
            <w:proofErr w:type="spellEnd"/>
            <w:r w:rsidRPr="005C68CD">
              <w:rPr>
                <w:rFonts w:ascii="Arial" w:hAnsi="Arial" w:cs="Arial"/>
                <w:sz w:val="24"/>
                <w:szCs w:val="24"/>
              </w:rPr>
              <w:t xml:space="preserve"> completions*</w:t>
            </w:r>
          </w:p>
        </w:tc>
        <w:tc>
          <w:tcPr>
            <w:tcW w:w="1701" w:type="dxa"/>
            <w:tcBorders>
              <w:top w:val="single" w:sz="4" w:space="0" w:color="auto"/>
              <w:left w:val="single" w:sz="4" w:space="0" w:color="auto"/>
              <w:bottom w:val="single" w:sz="4" w:space="0" w:color="auto"/>
              <w:right w:val="single" w:sz="4" w:space="0" w:color="auto"/>
            </w:tcBorders>
            <w:hideMark/>
          </w:tcPr>
          <w:p w:rsidR="00914890" w:rsidRPr="005C68CD" w:rsidRDefault="00914890" w:rsidP="003C118F">
            <w:pPr>
              <w:jc w:val="center"/>
              <w:rPr>
                <w:rFonts w:ascii="Arial" w:hAnsi="Arial" w:cs="Arial"/>
                <w:sz w:val="24"/>
                <w:szCs w:val="24"/>
                <w:highlight w:val="cyan"/>
              </w:rPr>
            </w:pPr>
            <w:r w:rsidRPr="005C68CD">
              <w:rPr>
                <w:rFonts w:ascii="Arial" w:hAnsi="Arial" w:cs="Arial"/>
                <w:sz w:val="24"/>
                <w:szCs w:val="24"/>
              </w:rPr>
              <w:t>10</w:t>
            </w:r>
            <w:r w:rsidRPr="005C68CD">
              <w:rPr>
                <w:rFonts w:ascii="Arial" w:hAnsi="Arial" w:cs="Arial"/>
                <w:sz w:val="24"/>
                <w:szCs w:val="24"/>
                <w:highlight w:val="cyan"/>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14890" w:rsidRPr="005C68CD" w:rsidRDefault="00914890" w:rsidP="003C118F">
            <w:pPr>
              <w:jc w:val="center"/>
              <w:rPr>
                <w:rFonts w:ascii="Arial" w:hAnsi="Arial" w:cs="Arial"/>
                <w:sz w:val="24"/>
                <w:szCs w:val="24"/>
                <w:highlight w:val="cyan"/>
              </w:rPr>
            </w:pPr>
            <w:r w:rsidRPr="005C68CD">
              <w:rPr>
                <w:rFonts w:ascii="Arial" w:hAnsi="Arial" w:cs="Arial"/>
                <w:sz w:val="24"/>
                <w:szCs w:val="24"/>
              </w:rPr>
              <w:t>60</w:t>
            </w:r>
          </w:p>
        </w:tc>
        <w:tc>
          <w:tcPr>
            <w:tcW w:w="1650" w:type="dxa"/>
            <w:tcBorders>
              <w:top w:val="single" w:sz="4" w:space="0" w:color="auto"/>
              <w:left w:val="single" w:sz="4" w:space="0" w:color="auto"/>
              <w:bottom w:val="single" w:sz="4" w:space="0" w:color="auto"/>
              <w:right w:val="single" w:sz="4" w:space="0" w:color="auto"/>
            </w:tcBorders>
            <w:hideMark/>
          </w:tcPr>
          <w:p w:rsidR="00914890" w:rsidRPr="005C68CD" w:rsidRDefault="00914890" w:rsidP="003C118F">
            <w:pPr>
              <w:jc w:val="center"/>
              <w:rPr>
                <w:rFonts w:ascii="Arial" w:hAnsi="Arial" w:cs="Arial"/>
                <w:sz w:val="24"/>
                <w:szCs w:val="24"/>
                <w:highlight w:val="cyan"/>
              </w:rPr>
            </w:pPr>
            <w:r w:rsidRPr="005C68CD">
              <w:rPr>
                <w:rFonts w:ascii="Arial" w:hAnsi="Arial" w:cs="Arial"/>
                <w:sz w:val="24"/>
                <w:szCs w:val="24"/>
              </w:rPr>
              <w:t>+297</w:t>
            </w:r>
          </w:p>
        </w:tc>
      </w:tr>
      <w:tr w:rsidR="00914890" w:rsidRPr="005C68CD" w:rsidTr="00914890">
        <w:tc>
          <w:tcPr>
            <w:tcW w:w="4248" w:type="dxa"/>
            <w:tcBorders>
              <w:top w:val="single" w:sz="4" w:space="0" w:color="auto"/>
              <w:left w:val="single" w:sz="4" w:space="0" w:color="auto"/>
              <w:bottom w:val="single" w:sz="4" w:space="0" w:color="auto"/>
              <w:right w:val="single" w:sz="4" w:space="0" w:color="auto"/>
            </w:tcBorders>
            <w:hideMark/>
          </w:tcPr>
          <w:p w:rsidR="00914890" w:rsidRPr="005C68CD" w:rsidRDefault="00914890" w:rsidP="003C118F">
            <w:pPr>
              <w:numPr>
                <w:ilvl w:val="0"/>
                <w:numId w:val="7"/>
              </w:numPr>
              <w:rPr>
                <w:rFonts w:ascii="Arial" w:hAnsi="Arial" w:cs="Arial"/>
                <w:sz w:val="24"/>
                <w:szCs w:val="24"/>
              </w:rPr>
            </w:pPr>
            <w:r w:rsidRPr="005C68CD">
              <w:rPr>
                <w:rFonts w:ascii="Arial" w:hAnsi="Arial" w:cs="Arial"/>
                <w:sz w:val="24"/>
                <w:szCs w:val="24"/>
              </w:rPr>
              <w:t xml:space="preserve">Construction jobs connected to Capital Investment**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4890" w:rsidRPr="005C68CD" w:rsidRDefault="00914890" w:rsidP="003C118F">
            <w:pPr>
              <w:jc w:val="center"/>
              <w:rPr>
                <w:rFonts w:ascii="Arial" w:hAnsi="Arial" w:cs="Arial"/>
                <w:sz w:val="24"/>
                <w:szCs w:val="24"/>
                <w:highlight w:val="cyan"/>
              </w:rPr>
            </w:pPr>
            <w:r w:rsidRPr="005C68CD">
              <w:rPr>
                <w:rFonts w:ascii="Arial" w:hAnsi="Arial" w:cs="Arial"/>
                <w:sz w:val="24"/>
                <w:szCs w:val="24"/>
              </w:rPr>
              <w:t>n/a</w:t>
            </w:r>
          </w:p>
        </w:tc>
        <w:tc>
          <w:tcPr>
            <w:tcW w:w="1417" w:type="dxa"/>
            <w:tcBorders>
              <w:top w:val="single" w:sz="4" w:space="0" w:color="auto"/>
              <w:left w:val="single" w:sz="4" w:space="0" w:color="auto"/>
              <w:bottom w:val="single" w:sz="4" w:space="0" w:color="auto"/>
              <w:right w:val="single" w:sz="4" w:space="0" w:color="auto"/>
            </w:tcBorders>
            <w:hideMark/>
          </w:tcPr>
          <w:p w:rsidR="00914890" w:rsidRPr="005C68CD" w:rsidRDefault="00914890" w:rsidP="003C118F">
            <w:pPr>
              <w:jc w:val="center"/>
              <w:rPr>
                <w:rFonts w:ascii="Arial" w:hAnsi="Arial" w:cs="Arial"/>
                <w:sz w:val="24"/>
                <w:szCs w:val="24"/>
                <w:highlight w:val="cyan"/>
              </w:rPr>
            </w:pPr>
            <w:r w:rsidRPr="005C68CD">
              <w:rPr>
                <w:rFonts w:ascii="Arial" w:hAnsi="Arial" w:cs="Arial"/>
                <w:sz w:val="24"/>
                <w:szCs w:val="24"/>
              </w:rPr>
              <w:t>80</w:t>
            </w:r>
          </w:p>
        </w:tc>
        <w:tc>
          <w:tcPr>
            <w:tcW w:w="1650" w:type="dxa"/>
            <w:tcBorders>
              <w:top w:val="single" w:sz="4" w:space="0" w:color="auto"/>
              <w:left w:val="single" w:sz="4" w:space="0" w:color="auto"/>
              <w:bottom w:val="single" w:sz="4" w:space="0" w:color="auto"/>
              <w:right w:val="single" w:sz="4" w:space="0" w:color="auto"/>
            </w:tcBorders>
            <w:hideMark/>
          </w:tcPr>
          <w:p w:rsidR="00914890" w:rsidRPr="005C68CD" w:rsidRDefault="00914890" w:rsidP="003C118F">
            <w:pPr>
              <w:jc w:val="center"/>
              <w:rPr>
                <w:rFonts w:ascii="Arial" w:hAnsi="Arial" w:cs="Arial"/>
                <w:sz w:val="24"/>
                <w:szCs w:val="24"/>
                <w:highlight w:val="cyan"/>
              </w:rPr>
            </w:pPr>
            <w:r w:rsidRPr="005C68CD">
              <w:rPr>
                <w:rFonts w:ascii="Arial" w:hAnsi="Arial" w:cs="Arial"/>
                <w:sz w:val="24"/>
                <w:szCs w:val="24"/>
              </w:rPr>
              <w:t xml:space="preserve">n/a </w:t>
            </w:r>
          </w:p>
        </w:tc>
      </w:tr>
      <w:tr w:rsidR="00914890" w:rsidRPr="005C68CD" w:rsidTr="00914890">
        <w:tc>
          <w:tcPr>
            <w:tcW w:w="4248" w:type="dxa"/>
            <w:tcBorders>
              <w:top w:val="single" w:sz="4" w:space="0" w:color="auto"/>
              <w:left w:val="single" w:sz="4" w:space="0" w:color="auto"/>
              <w:bottom w:val="single" w:sz="4" w:space="0" w:color="auto"/>
              <w:right w:val="single" w:sz="4" w:space="0" w:color="auto"/>
            </w:tcBorders>
            <w:hideMark/>
          </w:tcPr>
          <w:p w:rsidR="00914890" w:rsidRPr="005C68CD" w:rsidRDefault="00914890" w:rsidP="003C118F">
            <w:pPr>
              <w:numPr>
                <w:ilvl w:val="0"/>
                <w:numId w:val="7"/>
              </w:numPr>
              <w:rPr>
                <w:rFonts w:ascii="Arial" w:hAnsi="Arial" w:cs="Arial"/>
                <w:sz w:val="24"/>
                <w:szCs w:val="24"/>
              </w:rPr>
            </w:pPr>
            <w:r w:rsidRPr="005C68CD">
              <w:rPr>
                <w:rFonts w:ascii="Arial" w:hAnsi="Arial" w:cs="Arial"/>
                <w:sz w:val="24"/>
                <w:szCs w:val="24"/>
              </w:rPr>
              <w:t xml:space="preserve">Jobs associated with existing </w:t>
            </w:r>
            <w:proofErr w:type="spellStart"/>
            <w:r w:rsidRPr="005C68CD">
              <w:rPr>
                <w:rFonts w:ascii="Arial" w:hAnsi="Arial" w:cs="Arial"/>
                <w:sz w:val="24"/>
                <w:szCs w:val="24"/>
              </w:rPr>
              <w:t>floorspace</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14890" w:rsidRPr="005C68CD" w:rsidRDefault="00914890" w:rsidP="003C118F">
            <w:pPr>
              <w:jc w:val="center"/>
              <w:rPr>
                <w:rFonts w:ascii="Arial" w:hAnsi="Arial" w:cs="Arial"/>
                <w:sz w:val="24"/>
                <w:szCs w:val="24"/>
                <w:highlight w:val="cyan"/>
              </w:rPr>
            </w:pPr>
            <w:r w:rsidRPr="005C68CD">
              <w:rPr>
                <w:rFonts w:ascii="Arial" w:hAnsi="Arial" w:cs="Arial"/>
                <w:sz w:val="24"/>
                <w:szCs w:val="24"/>
              </w:rPr>
              <w:t>n/a</w:t>
            </w:r>
          </w:p>
        </w:tc>
        <w:tc>
          <w:tcPr>
            <w:tcW w:w="1417" w:type="dxa"/>
            <w:tcBorders>
              <w:top w:val="single" w:sz="4" w:space="0" w:color="auto"/>
              <w:left w:val="single" w:sz="4" w:space="0" w:color="auto"/>
              <w:bottom w:val="single" w:sz="4" w:space="0" w:color="auto"/>
              <w:right w:val="single" w:sz="4" w:space="0" w:color="auto"/>
            </w:tcBorders>
            <w:hideMark/>
          </w:tcPr>
          <w:p w:rsidR="00914890" w:rsidRPr="005C68CD" w:rsidRDefault="00914890" w:rsidP="003C118F">
            <w:pPr>
              <w:jc w:val="center"/>
              <w:rPr>
                <w:rFonts w:ascii="Arial" w:hAnsi="Arial" w:cs="Arial"/>
                <w:sz w:val="24"/>
                <w:szCs w:val="24"/>
                <w:highlight w:val="cyan"/>
              </w:rPr>
            </w:pPr>
            <w:r w:rsidRPr="005C68CD">
              <w:rPr>
                <w:rFonts w:ascii="Arial" w:hAnsi="Arial" w:cs="Arial"/>
                <w:sz w:val="24"/>
                <w:szCs w:val="24"/>
              </w:rPr>
              <w:t>-</w:t>
            </w:r>
          </w:p>
        </w:tc>
        <w:tc>
          <w:tcPr>
            <w:tcW w:w="1650" w:type="dxa"/>
            <w:tcBorders>
              <w:top w:val="single" w:sz="4" w:space="0" w:color="auto"/>
              <w:left w:val="single" w:sz="4" w:space="0" w:color="auto"/>
              <w:bottom w:val="single" w:sz="4" w:space="0" w:color="auto"/>
              <w:right w:val="single" w:sz="4" w:space="0" w:color="auto"/>
            </w:tcBorders>
            <w:hideMark/>
          </w:tcPr>
          <w:p w:rsidR="00914890" w:rsidRPr="005C68CD" w:rsidRDefault="00914890" w:rsidP="003C118F">
            <w:pPr>
              <w:jc w:val="center"/>
              <w:rPr>
                <w:rFonts w:ascii="Arial" w:hAnsi="Arial" w:cs="Arial"/>
                <w:sz w:val="24"/>
                <w:szCs w:val="24"/>
                <w:highlight w:val="cyan"/>
              </w:rPr>
            </w:pPr>
            <w:r w:rsidRPr="005C68CD">
              <w:rPr>
                <w:rFonts w:ascii="Arial" w:hAnsi="Arial" w:cs="Arial"/>
                <w:sz w:val="24"/>
                <w:szCs w:val="24"/>
              </w:rPr>
              <w:t>n/a</w:t>
            </w:r>
          </w:p>
        </w:tc>
      </w:tr>
      <w:tr w:rsidR="00914890" w:rsidRPr="005C68CD" w:rsidTr="00914890">
        <w:tc>
          <w:tcPr>
            <w:tcW w:w="4248" w:type="dxa"/>
            <w:tcBorders>
              <w:top w:val="single" w:sz="4" w:space="0" w:color="auto"/>
              <w:left w:val="single" w:sz="4" w:space="0" w:color="auto"/>
              <w:bottom w:val="single" w:sz="4" w:space="0" w:color="auto"/>
              <w:right w:val="single" w:sz="4" w:space="0" w:color="auto"/>
            </w:tcBorders>
          </w:tcPr>
          <w:p w:rsidR="00914890" w:rsidRPr="005C68CD" w:rsidRDefault="00914890" w:rsidP="003C118F">
            <w:pPr>
              <w:numPr>
                <w:ilvl w:val="0"/>
                <w:numId w:val="7"/>
              </w:numPr>
              <w:rPr>
                <w:rFonts w:ascii="Arial" w:hAnsi="Arial" w:cs="Arial"/>
                <w:sz w:val="24"/>
                <w:szCs w:val="24"/>
              </w:rPr>
            </w:pPr>
            <w:r w:rsidRPr="005C68CD">
              <w:rPr>
                <w:rFonts w:ascii="Arial" w:hAnsi="Arial" w:cs="Arial"/>
                <w:sz w:val="24"/>
                <w:szCs w:val="24"/>
              </w:rPr>
              <w:t xml:space="preserve">BOOST Business Lancashire </w:t>
            </w:r>
          </w:p>
        </w:tc>
        <w:tc>
          <w:tcPr>
            <w:tcW w:w="1701" w:type="dxa"/>
            <w:tcBorders>
              <w:top w:val="single" w:sz="4" w:space="0" w:color="auto"/>
              <w:left w:val="single" w:sz="4" w:space="0" w:color="auto"/>
              <w:bottom w:val="single" w:sz="4" w:space="0" w:color="auto"/>
              <w:right w:val="single" w:sz="4" w:space="0" w:color="auto"/>
            </w:tcBorders>
          </w:tcPr>
          <w:p w:rsidR="00914890" w:rsidRPr="005C68CD" w:rsidRDefault="00914890" w:rsidP="003C118F">
            <w:pPr>
              <w:jc w:val="center"/>
              <w:rPr>
                <w:rFonts w:ascii="Arial" w:hAnsi="Arial" w:cs="Arial"/>
                <w:sz w:val="24"/>
                <w:szCs w:val="24"/>
              </w:rPr>
            </w:pPr>
            <w:r w:rsidRPr="005C68CD">
              <w:rPr>
                <w:rFonts w:ascii="Arial" w:hAnsi="Arial" w:cs="Arial"/>
                <w:sz w:val="24"/>
                <w:szCs w:val="24"/>
              </w:rPr>
              <w:t>n/a</w:t>
            </w:r>
          </w:p>
        </w:tc>
        <w:tc>
          <w:tcPr>
            <w:tcW w:w="1417" w:type="dxa"/>
            <w:tcBorders>
              <w:top w:val="single" w:sz="4" w:space="0" w:color="auto"/>
              <w:left w:val="single" w:sz="4" w:space="0" w:color="auto"/>
              <w:bottom w:val="single" w:sz="4" w:space="0" w:color="auto"/>
              <w:right w:val="single" w:sz="4" w:space="0" w:color="auto"/>
            </w:tcBorders>
          </w:tcPr>
          <w:p w:rsidR="00914890" w:rsidRPr="005C68CD" w:rsidRDefault="00914890" w:rsidP="003C118F">
            <w:pPr>
              <w:jc w:val="center"/>
              <w:rPr>
                <w:rFonts w:ascii="Arial" w:hAnsi="Arial" w:cs="Arial"/>
                <w:sz w:val="24"/>
                <w:szCs w:val="24"/>
                <w:highlight w:val="cyan"/>
              </w:rPr>
            </w:pPr>
            <w:r w:rsidRPr="005C68CD">
              <w:rPr>
                <w:rFonts w:ascii="Arial" w:hAnsi="Arial" w:cs="Arial"/>
                <w:sz w:val="24"/>
                <w:szCs w:val="24"/>
              </w:rPr>
              <w:t>95</w:t>
            </w:r>
          </w:p>
        </w:tc>
        <w:tc>
          <w:tcPr>
            <w:tcW w:w="1650" w:type="dxa"/>
            <w:tcBorders>
              <w:top w:val="single" w:sz="4" w:space="0" w:color="auto"/>
              <w:left w:val="single" w:sz="4" w:space="0" w:color="auto"/>
              <w:bottom w:val="single" w:sz="4" w:space="0" w:color="auto"/>
              <w:right w:val="single" w:sz="4" w:space="0" w:color="auto"/>
            </w:tcBorders>
          </w:tcPr>
          <w:p w:rsidR="00914890" w:rsidRPr="005C68CD" w:rsidRDefault="00914890" w:rsidP="003C118F">
            <w:pPr>
              <w:jc w:val="center"/>
              <w:rPr>
                <w:rFonts w:ascii="Arial" w:hAnsi="Arial" w:cs="Arial"/>
                <w:sz w:val="24"/>
                <w:szCs w:val="24"/>
              </w:rPr>
            </w:pPr>
            <w:r w:rsidRPr="005C68CD">
              <w:rPr>
                <w:rFonts w:ascii="Arial" w:hAnsi="Arial" w:cs="Arial"/>
                <w:sz w:val="24"/>
                <w:szCs w:val="24"/>
              </w:rPr>
              <w:t>n/a</w:t>
            </w:r>
          </w:p>
        </w:tc>
      </w:tr>
    </w:tbl>
    <w:p w:rsidR="00914890" w:rsidRPr="005C68CD" w:rsidRDefault="00914890" w:rsidP="003C118F">
      <w:pPr>
        <w:spacing w:after="0" w:line="240" w:lineRule="auto"/>
        <w:ind w:left="284" w:hanging="426"/>
      </w:pPr>
      <w:r w:rsidRPr="005C68CD">
        <w:t xml:space="preserve">* Gross jobs based on an average of 43 </w:t>
      </w:r>
      <w:proofErr w:type="spellStart"/>
      <w:r w:rsidRPr="005C68CD">
        <w:t>sq</w:t>
      </w:r>
      <w:proofErr w:type="spellEnd"/>
      <w:r w:rsidRPr="005C68CD">
        <w:t xml:space="preserve"> m per job, as per CLG guidance.</w:t>
      </w:r>
    </w:p>
    <w:p w:rsidR="00914890" w:rsidRPr="005C68CD" w:rsidRDefault="00914890" w:rsidP="003C118F">
      <w:pPr>
        <w:spacing w:after="0" w:line="240" w:lineRule="auto"/>
        <w:ind w:left="284" w:hanging="426"/>
      </w:pPr>
      <w:r w:rsidRPr="005C68CD">
        <w:t>** Based on one job per £86,945 of capital investment</w:t>
      </w:r>
    </w:p>
    <w:p w:rsidR="00914890" w:rsidRDefault="00914890" w:rsidP="003C118F">
      <w:pPr>
        <w:spacing w:after="0" w:line="240" w:lineRule="auto"/>
        <w:ind w:left="284" w:hanging="426"/>
        <w:rPr>
          <w:rFonts w:ascii="Arial" w:hAnsi="Arial" w:cs="Arial"/>
          <w:b/>
          <w:sz w:val="24"/>
          <w:szCs w:val="24"/>
        </w:rPr>
      </w:pPr>
    </w:p>
    <w:p w:rsidR="003C118F" w:rsidRDefault="003C118F" w:rsidP="003C118F">
      <w:pPr>
        <w:spacing w:after="0" w:line="240" w:lineRule="auto"/>
        <w:ind w:left="284" w:hanging="426"/>
        <w:rPr>
          <w:rFonts w:ascii="Arial" w:hAnsi="Arial" w:cs="Arial"/>
          <w:b/>
          <w:sz w:val="24"/>
          <w:szCs w:val="24"/>
        </w:rPr>
      </w:pPr>
    </w:p>
    <w:p w:rsidR="003C118F" w:rsidRDefault="003C118F" w:rsidP="003C118F">
      <w:pPr>
        <w:spacing w:after="0" w:line="240" w:lineRule="auto"/>
        <w:ind w:left="284" w:hanging="426"/>
        <w:rPr>
          <w:rFonts w:ascii="Arial" w:hAnsi="Arial" w:cs="Arial"/>
          <w:b/>
          <w:sz w:val="24"/>
          <w:szCs w:val="24"/>
        </w:rPr>
      </w:pPr>
    </w:p>
    <w:p w:rsidR="003C118F" w:rsidRDefault="003C118F" w:rsidP="003C118F">
      <w:pPr>
        <w:spacing w:after="0" w:line="240" w:lineRule="auto"/>
        <w:ind w:left="284" w:hanging="426"/>
        <w:rPr>
          <w:rFonts w:ascii="Arial" w:hAnsi="Arial" w:cs="Arial"/>
          <w:b/>
          <w:sz w:val="24"/>
          <w:szCs w:val="24"/>
        </w:rPr>
      </w:pPr>
    </w:p>
    <w:p w:rsidR="003C118F" w:rsidRPr="005C68CD" w:rsidRDefault="003C118F" w:rsidP="003C118F">
      <w:pPr>
        <w:spacing w:after="0" w:line="240" w:lineRule="auto"/>
        <w:ind w:left="284" w:hanging="426"/>
        <w:rPr>
          <w:rFonts w:ascii="Arial" w:hAnsi="Arial" w:cs="Arial"/>
          <w:b/>
          <w:sz w:val="24"/>
          <w:szCs w:val="24"/>
        </w:rPr>
      </w:pPr>
    </w:p>
    <w:p w:rsidR="00914890" w:rsidRDefault="00914890" w:rsidP="003C118F">
      <w:pPr>
        <w:spacing w:after="0" w:line="240" w:lineRule="auto"/>
        <w:ind w:left="284" w:hanging="426"/>
        <w:rPr>
          <w:rFonts w:ascii="Arial" w:hAnsi="Arial" w:cs="Arial"/>
          <w:b/>
          <w:sz w:val="24"/>
          <w:szCs w:val="24"/>
        </w:rPr>
      </w:pPr>
      <w:r>
        <w:rPr>
          <w:rFonts w:ascii="Arial" w:hAnsi="Arial" w:cs="Arial"/>
          <w:b/>
          <w:sz w:val="24"/>
          <w:szCs w:val="24"/>
        </w:rPr>
        <w:lastRenderedPageBreak/>
        <w:t>Employment and Skills</w:t>
      </w:r>
      <w:r>
        <w:rPr>
          <w:rFonts w:ascii="Arial" w:hAnsi="Arial" w:cs="Arial"/>
          <w:sz w:val="24"/>
          <w:szCs w:val="24"/>
        </w:rPr>
        <w:t xml:space="preserve"> – </w:t>
      </w:r>
      <w:r w:rsidR="003C118F">
        <w:rPr>
          <w:rFonts w:ascii="Arial" w:hAnsi="Arial" w:cs="Arial"/>
          <w:b/>
          <w:sz w:val="24"/>
          <w:szCs w:val="24"/>
        </w:rPr>
        <w:t>see A</w:t>
      </w:r>
      <w:r w:rsidRPr="00914890">
        <w:rPr>
          <w:rFonts w:ascii="Arial" w:hAnsi="Arial" w:cs="Arial"/>
          <w:b/>
          <w:sz w:val="24"/>
          <w:szCs w:val="24"/>
        </w:rPr>
        <w:t xml:space="preserve">ppendix </w:t>
      </w:r>
      <w:r w:rsidR="002C2305">
        <w:rPr>
          <w:rFonts w:ascii="Arial" w:hAnsi="Arial" w:cs="Arial"/>
          <w:b/>
          <w:sz w:val="24"/>
          <w:szCs w:val="24"/>
        </w:rPr>
        <w:t>3</w:t>
      </w:r>
    </w:p>
    <w:p w:rsidR="003C118F" w:rsidRDefault="003C118F" w:rsidP="003C118F">
      <w:pPr>
        <w:spacing w:after="0" w:line="240" w:lineRule="auto"/>
        <w:ind w:left="284" w:hanging="426"/>
        <w:rPr>
          <w:rFonts w:ascii="Arial" w:hAnsi="Arial" w:cs="Arial"/>
          <w:sz w:val="24"/>
          <w:szCs w:val="24"/>
        </w:rPr>
      </w:pPr>
    </w:p>
    <w:p w:rsidR="00914890" w:rsidRDefault="00914890" w:rsidP="003C118F">
      <w:pPr>
        <w:spacing w:after="0" w:line="240" w:lineRule="auto"/>
        <w:rPr>
          <w:rFonts w:ascii="Arial" w:hAnsi="Arial" w:cs="Arial"/>
          <w:sz w:val="24"/>
          <w:szCs w:val="24"/>
        </w:rPr>
      </w:pPr>
      <w:r>
        <w:rPr>
          <w:rFonts w:ascii="Arial" w:hAnsi="Arial" w:cs="Arial"/>
          <w:sz w:val="24"/>
          <w:szCs w:val="24"/>
        </w:rPr>
        <w:t xml:space="preserve">In most cases the outputs in relation to skills and employment are progressing as expected, </w:t>
      </w:r>
      <w:r w:rsidR="003C118F">
        <w:rPr>
          <w:rFonts w:ascii="Arial" w:hAnsi="Arial" w:cs="Arial"/>
          <w:sz w:val="24"/>
          <w:szCs w:val="24"/>
        </w:rPr>
        <w:t>please refer to Table 5 below.</w:t>
      </w:r>
    </w:p>
    <w:p w:rsidR="003C118F" w:rsidRDefault="003C118F" w:rsidP="003C118F">
      <w:pPr>
        <w:spacing w:after="0" w:line="240" w:lineRule="auto"/>
        <w:rPr>
          <w:rFonts w:ascii="Arial" w:hAnsi="Arial" w:cs="Arial"/>
          <w:sz w:val="24"/>
          <w:szCs w:val="24"/>
        </w:rPr>
      </w:pPr>
    </w:p>
    <w:p w:rsidR="00914890" w:rsidRDefault="00914890" w:rsidP="003C118F">
      <w:pPr>
        <w:pStyle w:val="ListParagraph"/>
        <w:numPr>
          <w:ilvl w:val="0"/>
          <w:numId w:val="17"/>
        </w:numPr>
        <w:spacing w:after="0" w:line="240" w:lineRule="auto"/>
        <w:rPr>
          <w:rFonts w:ascii="Arial" w:hAnsi="Arial" w:cs="Arial"/>
          <w:sz w:val="24"/>
          <w:szCs w:val="24"/>
        </w:rPr>
      </w:pPr>
      <w:r w:rsidRPr="00A33DBF">
        <w:rPr>
          <w:rFonts w:ascii="Arial" w:hAnsi="Arial" w:cs="Arial"/>
          <w:sz w:val="24"/>
          <w:szCs w:val="24"/>
        </w:rPr>
        <w:t>Apprenticeships have increased in 2016/17 (see rows 1 and 2) against a backdrop of major apprenticeship reforms, in particular the introduction of the apprenticeship levy and the new apprenticeship qualifications called apprenticeship standards.</w:t>
      </w:r>
    </w:p>
    <w:p w:rsidR="003C118F" w:rsidRPr="00A33DBF" w:rsidRDefault="003C118F" w:rsidP="003C118F">
      <w:pPr>
        <w:pStyle w:val="ListParagraph"/>
        <w:spacing w:after="0" w:line="240" w:lineRule="auto"/>
        <w:rPr>
          <w:rFonts w:ascii="Arial" w:hAnsi="Arial" w:cs="Arial"/>
          <w:sz w:val="24"/>
          <w:szCs w:val="24"/>
        </w:rPr>
      </w:pPr>
    </w:p>
    <w:p w:rsidR="00914890" w:rsidRDefault="00914890" w:rsidP="003C118F">
      <w:pPr>
        <w:pStyle w:val="ListParagraph"/>
        <w:numPr>
          <w:ilvl w:val="0"/>
          <w:numId w:val="17"/>
        </w:numPr>
        <w:spacing w:after="0" w:line="240" w:lineRule="auto"/>
        <w:rPr>
          <w:rFonts w:ascii="Arial" w:hAnsi="Arial" w:cs="Arial"/>
          <w:sz w:val="24"/>
          <w:szCs w:val="24"/>
        </w:rPr>
      </w:pPr>
      <w:r w:rsidRPr="00A33DBF">
        <w:rPr>
          <w:rFonts w:ascii="Arial" w:hAnsi="Arial" w:cs="Arial"/>
          <w:sz w:val="24"/>
          <w:szCs w:val="24"/>
        </w:rPr>
        <w:t xml:space="preserve">The number of graduates </w:t>
      </w:r>
      <w:r>
        <w:rPr>
          <w:rFonts w:ascii="Arial" w:hAnsi="Arial" w:cs="Arial"/>
          <w:sz w:val="24"/>
          <w:szCs w:val="24"/>
        </w:rPr>
        <w:t>accessing</w:t>
      </w:r>
      <w:r w:rsidRPr="00A33DBF">
        <w:rPr>
          <w:rFonts w:ascii="Arial" w:hAnsi="Arial" w:cs="Arial"/>
          <w:sz w:val="24"/>
          <w:szCs w:val="24"/>
        </w:rPr>
        <w:t xml:space="preserve"> graduate jobs has increased both overall and into construction and engineering jobs (rows 3 and 4). </w:t>
      </w:r>
    </w:p>
    <w:p w:rsidR="003C118F" w:rsidRPr="003C118F" w:rsidRDefault="003C118F" w:rsidP="003C118F">
      <w:pPr>
        <w:spacing w:after="0" w:line="240" w:lineRule="auto"/>
        <w:rPr>
          <w:rFonts w:ascii="Arial" w:hAnsi="Arial" w:cs="Arial"/>
          <w:sz w:val="24"/>
          <w:szCs w:val="24"/>
        </w:rPr>
      </w:pPr>
    </w:p>
    <w:p w:rsidR="00914890" w:rsidRDefault="00914890" w:rsidP="003C118F">
      <w:pPr>
        <w:pStyle w:val="ListParagraph"/>
        <w:numPr>
          <w:ilvl w:val="0"/>
          <w:numId w:val="17"/>
        </w:numPr>
        <w:spacing w:after="0" w:line="240" w:lineRule="auto"/>
        <w:rPr>
          <w:rFonts w:ascii="Arial" w:hAnsi="Arial" w:cs="Arial"/>
          <w:sz w:val="24"/>
          <w:szCs w:val="24"/>
        </w:rPr>
      </w:pPr>
      <w:r w:rsidRPr="00A33DBF">
        <w:rPr>
          <w:rFonts w:ascii="Arial" w:hAnsi="Arial" w:cs="Arial"/>
          <w:sz w:val="24"/>
          <w:szCs w:val="24"/>
        </w:rPr>
        <w:t xml:space="preserve">Graduate placements and internships have decreased slightly (row 5) and </w:t>
      </w:r>
      <w:proofErr w:type="spellStart"/>
      <w:r w:rsidRPr="00A33DBF">
        <w:rPr>
          <w:rFonts w:ascii="Arial" w:hAnsi="Arial" w:cs="Arial"/>
          <w:sz w:val="24"/>
          <w:szCs w:val="24"/>
        </w:rPr>
        <w:t>UCLan</w:t>
      </w:r>
      <w:proofErr w:type="spellEnd"/>
      <w:r w:rsidRPr="00A33DBF">
        <w:rPr>
          <w:rFonts w:ascii="Arial" w:hAnsi="Arial" w:cs="Arial"/>
          <w:sz w:val="24"/>
          <w:szCs w:val="24"/>
        </w:rPr>
        <w:t xml:space="preserve"> are utilising their Masterplan partnerships for example with Conlon</w:t>
      </w:r>
      <w:r w:rsidR="003C118F">
        <w:rPr>
          <w:rFonts w:ascii="Arial" w:hAnsi="Arial" w:cs="Arial"/>
          <w:sz w:val="24"/>
          <w:szCs w:val="24"/>
        </w:rPr>
        <w:t xml:space="preserve"> Construction to address this.</w:t>
      </w:r>
    </w:p>
    <w:p w:rsidR="003C118F" w:rsidRPr="00A33DBF" w:rsidRDefault="003C118F" w:rsidP="003C118F">
      <w:pPr>
        <w:pStyle w:val="ListParagraph"/>
        <w:spacing w:after="0" w:line="240" w:lineRule="auto"/>
        <w:rPr>
          <w:rFonts w:ascii="Arial" w:hAnsi="Arial" w:cs="Arial"/>
          <w:sz w:val="24"/>
          <w:szCs w:val="24"/>
        </w:rPr>
      </w:pPr>
    </w:p>
    <w:p w:rsidR="00914890" w:rsidRDefault="00914890" w:rsidP="003C118F">
      <w:pPr>
        <w:pStyle w:val="ListParagraph"/>
        <w:numPr>
          <w:ilvl w:val="0"/>
          <w:numId w:val="17"/>
        </w:numPr>
        <w:spacing w:after="0" w:line="240" w:lineRule="auto"/>
        <w:rPr>
          <w:rFonts w:ascii="Arial" w:hAnsi="Arial" w:cs="Arial"/>
          <w:sz w:val="24"/>
          <w:szCs w:val="24"/>
        </w:rPr>
      </w:pPr>
      <w:r w:rsidRPr="00A33DBF">
        <w:rPr>
          <w:rFonts w:ascii="Arial" w:hAnsi="Arial" w:cs="Arial"/>
          <w:sz w:val="24"/>
          <w:szCs w:val="24"/>
        </w:rPr>
        <w:t xml:space="preserve">The number of new Higher Education students choosing Science, Technology, Engineering and Maths (STEM) subjects and construction undergraduate degree subjects at </w:t>
      </w:r>
      <w:proofErr w:type="spellStart"/>
      <w:r w:rsidRPr="00A33DBF">
        <w:rPr>
          <w:rFonts w:ascii="Arial" w:hAnsi="Arial" w:cs="Arial"/>
          <w:sz w:val="24"/>
          <w:szCs w:val="24"/>
        </w:rPr>
        <w:t>UCLan</w:t>
      </w:r>
      <w:proofErr w:type="spellEnd"/>
      <w:r w:rsidRPr="00A33DBF">
        <w:rPr>
          <w:rFonts w:ascii="Arial" w:hAnsi="Arial" w:cs="Arial"/>
          <w:sz w:val="24"/>
          <w:szCs w:val="24"/>
        </w:rPr>
        <w:t xml:space="preserve"> has increased year on year (row 6). </w:t>
      </w:r>
    </w:p>
    <w:p w:rsidR="003C118F" w:rsidRPr="003C118F" w:rsidRDefault="003C118F" w:rsidP="003C118F">
      <w:pPr>
        <w:spacing w:after="0" w:line="240" w:lineRule="auto"/>
        <w:rPr>
          <w:rFonts w:ascii="Arial" w:hAnsi="Arial" w:cs="Arial"/>
          <w:sz w:val="24"/>
          <w:szCs w:val="24"/>
        </w:rPr>
      </w:pPr>
    </w:p>
    <w:p w:rsidR="00914890" w:rsidRDefault="00914890" w:rsidP="003C118F">
      <w:pPr>
        <w:pStyle w:val="ListParagraph"/>
        <w:numPr>
          <w:ilvl w:val="0"/>
          <w:numId w:val="17"/>
        </w:numPr>
        <w:spacing w:after="0" w:line="240" w:lineRule="auto"/>
        <w:rPr>
          <w:rFonts w:ascii="Arial" w:hAnsi="Arial" w:cs="Arial"/>
          <w:sz w:val="24"/>
          <w:szCs w:val="24"/>
        </w:rPr>
      </w:pPr>
      <w:r w:rsidRPr="00A33DBF">
        <w:rPr>
          <w:rFonts w:ascii="Arial" w:hAnsi="Arial" w:cs="Arial"/>
          <w:sz w:val="24"/>
          <w:szCs w:val="24"/>
        </w:rPr>
        <w:t>Jobseeker's Allowance (JSA) and Universal Credit (UC) claimants have increased against a back drop of static unemployment. Under Universal Credit a broader span of claimants are required to look for work than under Jobseeker's Allowance. As Universal Credit Full Service is rolled out in particular areas, the number of people recorded as being on the Claimant Count is therefore likely to rise.</w:t>
      </w:r>
    </w:p>
    <w:p w:rsidR="003C118F" w:rsidRPr="003C118F" w:rsidRDefault="003C118F" w:rsidP="003C118F">
      <w:pPr>
        <w:spacing w:after="0" w:line="240" w:lineRule="auto"/>
        <w:rPr>
          <w:rFonts w:ascii="Arial" w:hAnsi="Arial" w:cs="Arial"/>
          <w:sz w:val="24"/>
          <w:szCs w:val="24"/>
        </w:rPr>
      </w:pPr>
    </w:p>
    <w:p w:rsidR="00914890" w:rsidRDefault="00914890" w:rsidP="003C118F">
      <w:pPr>
        <w:pStyle w:val="ListParagraph"/>
        <w:numPr>
          <w:ilvl w:val="0"/>
          <w:numId w:val="17"/>
        </w:numPr>
        <w:spacing w:after="0" w:line="240" w:lineRule="auto"/>
        <w:rPr>
          <w:rFonts w:ascii="Arial" w:hAnsi="Arial" w:cs="Arial"/>
          <w:sz w:val="24"/>
          <w:szCs w:val="24"/>
        </w:rPr>
      </w:pPr>
      <w:r w:rsidRPr="00A33DBF">
        <w:rPr>
          <w:rFonts w:ascii="Arial" w:hAnsi="Arial" w:cs="Arial"/>
          <w:sz w:val="24"/>
          <w:szCs w:val="24"/>
        </w:rPr>
        <w:t xml:space="preserve">The number of interventions/ activities promoting City Deal and construction career opportunities with the City Deal area has increased and this is despite of there being no direct involvement of the City Deal in having a stand at the 2017 Lancashire Science Festival as there was in 2016. Instead partners have delivered a wide range of activities directly with schools and a selection of these are illustrated in the case studies provided with this report.  Table 5 below provides a breakdown of the </w:t>
      </w:r>
      <w:r>
        <w:rPr>
          <w:rFonts w:ascii="Arial" w:hAnsi="Arial" w:cs="Arial"/>
          <w:sz w:val="24"/>
          <w:szCs w:val="24"/>
        </w:rPr>
        <w:t>skills and employment</w:t>
      </w:r>
      <w:r w:rsidRPr="00A33DBF">
        <w:rPr>
          <w:rFonts w:ascii="Arial" w:hAnsi="Arial" w:cs="Arial"/>
          <w:sz w:val="24"/>
          <w:szCs w:val="24"/>
        </w:rPr>
        <w:t xml:space="preserve"> targets and outputs.</w:t>
      </w:r>
    </w:p>
    <w:p w:rsidR="003C118F" w:rsidRPr="003C118F" w:rsidRDefault="003C118F" w:rsidP="003C118F">
      <w:pPr>
        <w:spacing w:after="0" w:line="240" w:lineRule="auto"/>
        <w:rPr>
          <w:rFonts w:ascii="Arial" w:hAnsi="Arial" w:cs="Arial"/>
          <w:sz w:val="24"/>
          <w:szCs w:val="24"/>
        </w:rPr>
      </w:pPr>
    </w:p>
    <w:p w:rsidR="00914890" w:rsidRDefault="00914890" w:rsidP="003C118F">
      <w:pPr>
        <w:spacing w:after="0" w:line="240" w:lineRule="auto"/>
        <w:ind w:left="284" w:hanging="426"/>
        <w:rPr>
          <w:rFonts w:ascii="Arial" w:hAnsi="Arial" w:cs="Arial"/>
          <w:b/>
          <w:sz w:val="24"/>
          <w:szCs w:val="24"/>
        </w:rPr>
      </w:pPr>
      <w:r>
        <w:rPr>
          <w:rFonts w:ascii="Arial" w:hAnsi="Arial" w:cs="Arial"/>
          <w:b/>
          <w:sz w:val="24"/>
          <w:szCs w:val="24"/>
        </w:rPr>
        <w:t>Table 5:  Skills and Employment metrics</w:t>
      </w:r>
    </w:p>
    <w:tbl>
      <w:tblPr>
        <w:tblStyle w:val="TableGrid"/>
        <w:tblW w:w="9782" w:type="dxa"/>
        <w:tblInd w:w="-289" w:type="dxa"/>
        <w:tblLook w:val="04A0" w:firstRow="1" w:lastRow="0" w:firstColumn="1" w:lastColumn="0" w:noHBand="0" w:noVBand="1"/>
      </w:tblPr>
      <w:tblGrid>
        <w:gridCol w:w="4624"/>
        <w:gridCol w:w="1161"/>
        <w:gridCol w:w="1006"/>
        <w:gridCol w:w="1006"/>
        <w:gridCol w:w="979"/>
        <w:gridCol w:w="1006"/>
      </w:tblGrid>
      <w:tr w:rsidR="00914890" w:rsidTr="003C118F">
        <w:trPr>
          <w:tblHeader/>
        </w:trPr>
        <w:tc>
          <w:tcPr>
            <w:tcW w:w="4624"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b/>
                <w:sz w:val="20"/>
                <w:szCs w:val="20"/>
              </w:rPr>
            </w:pPr>
            <w:r>
              <w:rPr>
                <w:rFonts w:ascii="Arial" w:hAnsi="Arial" w:cs="Arial"/>
                <w:b/>
                <w:sz w:val="20"/>
                <w:szCs w:val="20"/>
              </w:rPr>
              <w:t>Output</w:t>
            </w:r>
          </w:p>
          <w:p w:rsidR="00914890" w:rsidRDefault="00914890" w:rsidP="003C118F">
            <w:pPr>
              <w:rPr>
                <w:rFonts w:ascii="Arial" w:hAnsi="Arial" w:cs="Arial"/>
                <w:b/>
                <w:sz w:val="20"/>
                <w:szCs w:val="20"/>
              </w:rPr>
            </w:pPr>
          </w:p>
          <w:p w:rsidR="00914890" w:rsidRDefault="00914890" w:rsidP="003C118F">
            <w:pPr>
              <w:rPr>
                <w:rFonts w:ascii="Arial" w:hAnsi="Arial" w:cs="Arial"/>
                <w:b/>
                <w:sz w:val="20"/>
                <w:szCs w:val="20"/>
              </w:rPr>
            </w:pPr>
          </w:p>
          <w:p w:rsidR="00914890" w:rsidRPr="00CA7038" w:rsidRDefault="00914890" w:rsidP="003C118F">
            <w:pPr>
              <w:rPr>
                <w:rFonts w:ascii="Arial" w:hAnsi="Arial" w:cs="Arial"/>
                <w:sz w:val="20"/>
                <w:szCs w:val="20"/>
              </w:rPr>
            </w:pPr>
            <w:r w:rsidRPr="000A50A9">
              <w:rPr>
                <w:rFonts w:ascii="Arial" w:hAnsi="Arial" w:cs="Arial"/>
                <w:sz w:val="20"/>
                <w:szCs w:val="20"/>
              </w:rPr>
              <w:t>*refers to academic year</w:t>
            </w:r>
          </w:p>
        </w:tc>
        <w:tc>
          <w:tcPr>
            <w:tcW w:w="1161"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b/>
                <w:sz w:val="20"/>
                <w:szCs w:val="20"/>
              </w:rPr>
            </w:pPr>
            <w:r>
              <w:rPr>
                <w:rFonts w:ascii="Arial" w:hAnsi="Arial" w:cs="Arial"/>
                <w:b/>
                <w:sz w:val="20"/>
                <w:szCs w:val="20"/>
              </w:rPr>
              <w:t>Baseline:</w:t>
            </w:r>
          </w:p>
          <w:p w:rsidR="00914890" w:rsidRDefault="00914890" w:rsidP="003C118F">
            <w:pPr>
              <w:rPr>
                <w:rFonts w:ascii="Arial" w:hAnsi="Arial" w:cs="Arial"/>
                <w:b/>
                <w:sz w:val="20"/>
                <w:szCs w:val="20"/>
              </w:rPr>
            </w:pPr>
            <w:r>
              <w:rPr>
                <w:rFonts w:ascii="Arial" w:hAnsi="Arial" w:cs="Arial"/>
                <w:b/>
                <w:sz w:val="20"/>
                <w:szCs w:val="20"/>
              </w:rPr>
              <w:t>Academic Year 2012/13</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b/>
                <w:sz w:val="20"/>
                <w:szCs w:val="20"/>
              </w:rPr>
            </w:pPr>
            <w:r>
              <w:rPr>
                <w:rFonts w:ascii="Arial" w:hAnsi="Arial" w:cs="Arial"/>
                <w:b/>
                <w:sz w:val="20"/>
                <w:szCs w:val="20"/>
              </w:rPr>
              <w:t xml:space="preserve">Actual </w:t>
            </w:r>
          </w:p>
          <w:p w:rsidR="00914890" w:rsidRDefault="00914890" w:rsidP="003C118F">
            <w:pPr>
              <w:rPr>
                <w:rFonts w:ascii="Arial" w:hAnsi="Arial" w:cs="Arial"/>
                <w:b/>
                <w:sz w:val="20"/>
                <w:szCs w:val="20"/>
              </w:rPr>
            </w:pPr>
            <w:r>
              <w:rPr>
                <w:rFonts w:ascii="Arial" w:hAnsi="Arial" w:cs="Arial"/>
                <w:b/>
                <w:sz w:val="20"/>
                <w:szCs w:val="20"/>
              </w:rPr>
              <w:t>Year 1*</w:t>
            </w:r>
          </w:p>
          <w:p w:rsidR="00914890" w:rsidRDefault="00914890" w:rsidP="003C118F">
            <w:pPr>
              <w:rPr>
                <w:rFonts w:ascii="Arial" w:hAnsi="Arial" w:cs="Arial"/>
                <w:b/>
                <w:sz w:val="20"/>
                <w:szCs w:val="20"/>
              </w:rPr>
            </w:pPr>
            <w:r>
              <w:rPr>
                <w:rFonts w:ascii="Arial" w:hAnsi="Arial" w:cs="Arial"/>
                <w:b/>
                <w:sz w:val="20"/>
                <w:szCs w:val="20"/>
              </w:rPr>
              <w:t>2013/14</w:t>
            </w:r>
          </w:p>
          <w:p w:rsidR="00914890" w:rsidRPr="000A50A9" w:rsidRDefault="00914890" w:rsidP="003C118F">
            <w:pPr>
              <w:rPr>
                <w:rFonts w:ascii="Arial" w:hAnsi="Arial" w:cs="Arial"/>
                <w:b/>
                <w:sz w:val="16"/>
                <w:szCs w:val="16"/>
              </w:rPr>
            </w:pP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b/>
                <w:sz w:val="20"/>
                <w:szCs w:val="20"/>
              </w:rPr>
            </w:pPr>
            <w:r>
              <w:rPr>
                <w:rFonts w:ascii="Arial" w:hAnsi="Arial" w:cs="Arial"/>
                <w:b/>
                <w:sz w:val="20"/>
                <w:szCs w:val="20"/>
              </w:rPr>
              <w:t xml:space="preserve">Actual </w:t>
            </w:r>
          </w:p>
          <w:p w:rsidR="00914890" w:rsidRDefault="00914890" w:rsidP="003C118F">
            <w:pPr>
              <w:rPr>
                <w:rFonts w:ascii="Arial" w:hAnsi="Arial" w:cs="Arial"/>
                <w:b/>
                <w:sz w:val="20"/>
                <w:szCs w:val="20"/>
              </w:rPr>
            </w:pPr>
            <w:r>
              <w:rPr>
                <w:rFonts w:ascii="Arial" w:hAnsi="Arial" w:cs="Arial"/>
                <w:b/>
                <w:sz w:val="20"/>
                <w:szCs w:val="20"/>
              </w:rPr>
              <w:t>Year 2 *</w:t>
            </w:r>
          </w:p>
          <w:p w:rsidR="00914890" w:rsidRDefault="00914890" w:rsidP="003C118F">
            <w:pPr>
              <w:rPr>
                <w:rFonts w:ascii="Arial" w:hAnsi="Arial" w:cs="Arial"/>
                <w:b/>
                <w:sz w:val="20"/>
                <w:szCs w:val="20"/>
              </w:rPr>
            </w:pPr>
            <w:r>
              <w:rPr>
                <w:rFonts w:ascii="Arial" w:hAnsi="Arial" w:cs="Arial"/>
                <w:b/>
                <w:sz w:val="20"/>
                <w:szCs w:val="20"/>
              </w:rPr>
              <w:t>2014/15</w:t>
            </w:r>
          </w:p>
        </w:tc>
        <w:tc>
          <w:tcPr>
            <w:tcW w:w="979"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b/>
                <w:sz w:val="20"/>
                <w:szCs w:val="20"/>
              </w:rPr>
            </w:pPr>
            <w:r>
              <w:rPr>
                <w:rFonts w:ascii="Arial" w:hAnsi="Arial" w:cs="Arial"/>
                <w:b/>
                <w:sz w:val="20"/>
                <w:szCs w:val="20"/>
              </w:rPr>
              <w:t xml:space="preserve">Actual </w:t>
            </w:r>
          </w:p>
          <w:p w:rsidR="00914890" w:rsidRDefault="00914890" w:rsidP="003C118F">
            <w:pPr>
              <w:rPr>
                <w:rFonts w:ascii="Arial" w:hAnsi="Arial" w:cs="Arial"/>
                <w:b/>
                <w:sz w:val="20"/>
                <w:szCs w:val="20"/>
              </w:rPr>
            </w:pPr>
            <w:r>
              <w:rPr>
                <w:rFonts w:ascii="Arial" w:hAnsi="Arial" w:cs="Arial"/>
                <w:b/>
                <w:sz w:val="20"/>
                <w:szCs w:val="20"/>
              </w:rPr>
              <w:t>Year 3 *</w:t>
            </w:r>
          </w:p>
          <w:p w:rsidR="00914890" w:rsidRDefault="00914890" w:rsidP="003C118F">
            <w:pPr>
              <w:rPr>
                <w:rFonts w:ascii="Arial" w:hAnsi="Arial" w:cs="Arial"/>
                <w:b/>
                <w:sz w:val="20"/>
                <w:szCs w:val="20"/>
              </w:rPr>
            </w:pPr>
            <w:r>
              <w:rPr>
                <w:rFonts w:ascii="Arial" w:hAnsi="Arial" w:cs="Arial"/>
                <w:b/>
                <w:sz w:val="20"/>
                <w:szCs w:val="20"/>
              </w:rPr>
              <w:t>2015/16</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b/>
                <w:sz w:val="20"/>
                <w:szCs w:val="20"/>
              </w:rPr>
            </w:pPr>
            <w:r>
              <w:rPr>
                <w:rFonts w:ascii="Arial" w:hAnsi="Arial" w:cs="Arial"/>
                <w:b/>
                <w:sz w:val="20"/>
                <w:szCs w:val="20"/>
              </w:rPr>
              <w:t xml:space="preserve">Actual </w:t>
            </w:r>
          </w:p>
          <w:p w:rsidR="00914890" w:rsidRDefault="00914890" w:rsidP="003C118F">
            <w:pPr>
              <w:rPr>
                <w:rFonts w:ascii="Arial" w:hAnsi="Arial" w:cs="Arial"/>
                <w:b/>
                <w:sz w:val="20"/>
                <w:szCs w:val="20"/>
              </w:rPr>
            </w:pPr>
            <w:r>
              <w:rPr>
                <w:rFonts w:ascii="Arial" w:hAnsi="Arial" w:cs="Arial"/>
                <w:b/>
                <w:sz w:val="20"/>
                <w:szCs w:val="20"/>
              </w:rPr>
              <w:t>Year 4 *</w:t>
            </w:r>
          </w:p>
          <w:p w:rsidR="00914890" w:rsidRDefault="00914890" w:rsidP="003C118F">
            <w:pPr>
              <w:rPr>
                <w:rFonts w:ascii="Arial" w:hAnsi="Arial" w:cs="Arial"/>
                <w:b/>
                <w:sz w:val="20"/>
                <w:szCs w:val="20"/>
              </w:rPr>
            </w:pPr>
            <w:r>
              <w:rPr>
                <w:rFonts w:ascii="Arial" w:hAnsi="Arial" w:cs="Arial"/>
                <w:b/>
                <w:sz w:val="20"/>
                <w:szCs w:val="20"/>
              </w:rPr>
              <w:t>2016/17</w:t>
            </w:r>
          </w:p>
        </w:tc>
      </w:tr>
      <w:tr w:rsidR="00914890" w:rsidTr="00914890">
        <w:tc>
          <w:tcPr>
            <w:tcW w:w="4624" w:type="dxa"/>
            <w:tcBorders>
              <w:top w:val="single" w:sz="4" w:space="0" w:color="auto"/>
              <w:left w:val="single" w:sz="4" w:space="0" w:color="auto"/>
              <w:bottom w:val="single" w:sz="4" w:space="0" w:color="auto"/>
              <w:right w:val="single" w:sz="4" w:space="0" w:color="auto"/>
            </w:tcBorders>
          </w:tcPr>
          <w:p w:rsidR="00914890" w:rsidRPr="0097448F" w:rsidRDefault="00914890" w:rsidP="003C118F">
            <w:pPr>
              <w:rPr>
                <w:rFonts w:ascii="Arial" w:hAnsi="Arial" w:cs="Arial"/>
                <w:b/>
                <w:sz w:val="20"/>
                <w:szCs w:val="20"/>
              </w:rPr>
            </w:pPr>
            <w:r w:rsidRPr="0097448F">
              <w:rPr>
                <w:rFonts w:ascii="Arial" w:hAnsi="Arial" w:cs="Arial"/>
                <w:b/>
                <w:sz w:val="20"/>
                <w:szCs w:val="20"/>
              </w:rPr>
              <w:t xml:space="preserve">1. </w:t>
            </w:r>
            <w:r>
              <w:rPr>
                <w:rFonts w:ascii="Arial" w:hAnsi="Arial" w:cs="Arial"/>
                <w:b/>
                <w:sz w:val="20"/>
                <w:szCs w:val="20"/>
              </w:rPr>
              <w:t>Apprenticeships s</w:t>
            </w:r>
            <w:r w:rsidRPr="0097448F">
              <w:rPr>
                <w:rFonts w:ascii="Arial" w:hAnsi="Arial" w:cs="Arial"/>
                <w:b/>
                <w:sz w:val="20"/>
                <w:szCs w:val="20"/>
              </w:rPr>
              <w:t>tarts</w:t>
            </w:r>
            <w:r>
              <w:rPr>
                <w:rFonts w:ascii="Arial" w:hAnsi="Arial" w:cs="Arial"/>
                <w:b/>
                <w:sz w:val="20"/>
                <w:szCs w:val="20"/>
              </w:rPr>
              <w:t xml:space="preserve"> in construction</w:t>
            </w: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r>
              <w:rPr>
                <w:rFonts w:ascii="Arial" w:hAnsi="Arial" w:cs="Arial"/>
                <w:sz w:val="20"/>
                <w:szCs w:val="20"/>
              </w:rPr>
              <w:t>16-24 year olds residents of Preston and South Ribble who have started an apprenticeship in the construction sector. Additional numbers year on year.</w:t>
            </w: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r>
              <w:rPr>
                <w:rFonts w:ascii="Arial" w:hAnsi="Arial" w:cs="Arial"/>
                <w:sz w:val="20"/>
                <w:szCs w:val="20"/>
              </w:rPr>
              <w:t xml:space="preserve">Source: Preston's College, </w:t>
            </w:r>
            <w:proofErr w:type="spellStart"/>
            <w:r>
              <w:rPr>
                <w:rFonts w:ascii="Arial" w:hAnsi="Arial" w:cs="Arial"/>
                <w:sz w:val="20"/>
                <w:szCs w:val="20"/>
              </w:rPr>
              <w:t>Runshaw</w:t>
            </w:r>
            <w:proofErr w:type="spellEnd"/>
            <w:r>
              <w:rPr>
                <w:rFonts w:ascii="Arial" w:hAnsi="Arial" w:cs="Arial"/>
                <w:sz w:val="20"/>
                <w:szCs w:val="20"/>
              </w:rPr>
              <w:t xml:space="preserve"> College and T2000 ESFA data</w:t>
            </w:r>
          </w:p>
        </w:tc>
        <w:tc>
          <w:tcPr>
            <w:tcW w:w="1161"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lastRenderedPageBreak/>
              <w:t>N/A</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101</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121</w:t>
            </w:r>
          </w:p>
        </w:tc>
        <w:tc>
          <w:tcPr>
            <w:tcW w:w="979"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sz w:val="20"/>
                <w:szCs w:val="20"/>
              </w:rPr>
            </w:pPr>
            <w:r>
              <w:rPr>
                <w:rFonts w:ascii="Arial" w:hAnsi="Arial" w:cs="Arial"/>
                <w:sz w:val="20"/>
                <w:szCs w:val="20"/>
              </w:rPr>
              <w:t>124</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155</w:t>
            </w:r>
          </w:p>
        </w:tc>
      </w:tr>
      <w:tr w:rsidR="00914890" w:rsidTr="00914890">
        <w:tc>
          <w:tcPr>
            <w:tcW w:w="4624" w:type="dxa"/>
            <w:tcBorders>
              <w:top w:val="single" w:sz="4" w:space="0" w:color="auto"/>
              <w:left w:val="single" w:sz="4" w:space="0" w:color="auto"/>
              <w:bottom w:val="single" w:sz="4" w:space="0" w:color="auto"/>
              <w:right w:val="single" w:sz="4" w:space="0" w:color="auto"/>
            </w:tcBorders>
            <w:hideMark/>
          </w:tcPr>
          <w:p w:rsidR="00914890" w:rsidRPr="0097448F" w:rsidRDefault="00914890" w:rsidP="003C118F">
            <w:pPr>
              <w:rPr>
                <w:rFonts w:ascii="Arial" w:hAnsi="Arial" w:cs="Arial"/>
                <w:b/>
                <w:sz w:val="20"/>
                <w:szCs w:val="20"/>
              </w:rPr>
            </w:pPr>
            <w:r w:rsidRPr="0097448F">
              <w:rPr>
                <w:rFonts w:ascii="Arial" w:hAnsi="Arial" w:cs="Arial"/>
                <w:b/>
                <w:sz w:val="20"/>
                <w:szCs w:val="20"/>
              </w:rPr>
              <w:t xml:space="preserve">2. Apprenticeship </w:t>
            </w:r>
            <w:r>
              <w:rPr>
                <w:rFonts w:ascii="Arial" w:hAnsi="Arial" w:cs="Arial"/>
                <w:b/>
                <w:sz w:val="20"/>
                <w:szCs w:val="20"/>
              </w:rPr>
              <w:t>s</w:t>
            </w:r>
            <w:r w:rsidRPr="0097448F">
              <w:rPr>
                <w:rFonts w:ascii="Arial" w:hAnsi="Arial" w:cs="Arial"/>
                <w:b/>
                <w:sz w:val="20"/>
                <w:szCs w:val="20"/>
              </w:rPr>
              <w:t>tarts</w:t>
            </w:r>
            <w:r>
              <w:rPr>
                <w:rFonts w:ascii="Arial" w:hAnsi="Arial" w:cs="Arial"/>
                <w:b/>
                <w:sz w:val="20"/>
                <w:szCs w:val="20"/>
              </w:rPr>
              <w:t xml:space="preserve"> in all subjects</w:t>
            </w: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r>
              <w:rPr>
                <w:rFonts w:ascii="Arial" w:hAnsi="Arial" w:cs="Arial"/>
                <w:sz w:val="20"/>
                <w:szCs w:val="20"/>
              </w:rPr>
              <w:t>16-24 year old residents of Preston and South Ribble who have started an apprenticeship (excluding construction). Additional numbers year on year.</w:t>
            </w: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r>
              <w:rPr>
                <w:rFonts w:ascii="Arial" w:hAnsi="Arial" w:cs="Arial"/>
                <w:sz w:val="20"/>
                <w:szCs w:val="20"/>
              </w:rPr>
              <w:t xml:space="preserve">Source: Preston's College, </w:t>
            </w:r>
            <w:proofErr w:type="spellStart"/>
            <w:r>
              <w:rPr>
                <w:rFonts w:ascii="Arial" w:hAnsi="Arial" w:cs="Arial"/>
                <w:sz w:val="20"/>
                <w:szCs w:val="20"/>
              </w:rPr>
              <w:t>Runshaw</w:t>
            </w:r>
            <w:proofErr w:type="spellEnd"/>
            <w:r>
              <w:rPr>
                <w:rFonts w:ascii="Arial" w:hAnsi="Arial" w:cs="Arial"/>
                <w:sz w:val="20"/>
                <w:szCs w:val="20"/>
              </w:rPr>
              <w:t xml:space="preserve"> College and Training 2000 ESFA data</w:t>
            </w:r>
          </w:p>
        </w:tc>
        <w:tc>
          <w:tcPr>
            <w:tcW w:w="1161"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N/A</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672</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684</w:t>
            </w:r>
          </w:p>
        </w:tc>
        <w:tc>
          <w:tcPr>
            <w:tcW w:w="979"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sz w:val="20"/>
                <w:szCs w:val="20"/>
              </w:rPr>
            </w:pPr>
            <w:r>
              <w:rPr>
                <w:rFonts w:ascii="Arial" w:hAnsi="Arial" w:cs="Arial"/>
                <w:sz w:val="20"/>
                <w:szCs w:val="20"/>
              </w:rPr>
              <w:t>710</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875</w:t>
            </w:r>
          </w:p>
        </w:tc>
      </w:tr>
      <w:tr w:rsidR="00914890" w:rsidTr="00914890">
        <w:tc>
          <w:tcPr>
            <w:tcW w:w="4624" w:type="dxa"/>
            <w:tcBorders>
              <w:top w:val="single" w:sz="4" w:space="0" w:color="auto"/>
              <w:left w:val="single" w:sz="4" w:space="0" w:color="auto"/>
              <w:bottom w:val="single" w:sz="4" w:space="0" w:color="auto"/>
              <w:right w:val="single" w:sz="4" w:space="0" w:color="auto"/>
            </w:tcBorders>
          </w:tcPr>
          <w:p w:rsidR="00914890" w:rsidRPr="0097448F" w:rsidRDefault="00914890" w:rsidP="003C118F">
            <w:pPr>
              <w:rPr>
                <w:rFonts w:ascii="Arial" w:hAnsi="Arial" w:cs="Arial"/>
                <w:b/>
                <w:sz w:val="20"/>
                <w:szCs w:val="20"/>
              </w:rPr>
            </w:pPr>
            <w:r w:rsidRPr="0097448F">
              <w:rPr>
                <w:rFonts w:ascii="Arial" w:hAnsi="Arial" w:cs="Arial"/>
                <w:b/>
                <w:sz w:val="20"/>
                <w:szCs w:val="20"/>
              </w:rPr>
              <w:t xml:space="preserve">3. HE leavers getting </w:t>
            </w:r>
            <w:r>
              <w:rPr>
                <w:rFonts w:ascii="Arial" w:hAnsi="Arial" w:cs="Arial"/>
                <w:b/>
                <w:sz w:val="20"/>
                <w:szCs w:val="20"/>
              </w:rPr>
              <w:t>g</w:t>
            </w:r>
            <w:r w:rsidRPr="0097448F">
              <w:rPr>
                <w:rFonts w:ascii="Arial" w:hAnsi="Arial" w:cs="Arial"/>
                <w:b/>
                <w:sz w:val="20"/>
                <w:szCs w:val="20"/>
              </w:rPr>
              <w:t xml:space="preserve">raduate </w:t>
            </w:r>
            <w:r>
              <w:rPr>
                <w:rFonts w:ascii="Arial" w:hAnsi="Arial" w:cs="Arial"/>
                <w:b/>
                <w:sz w:val="20"/>
                <w:szCs w:val="20"/>
              </w:rPr>
              <w:t>j</w:t>
            </w:r>
            <w:r w:rsidRPr="0097448F">
              <w:rPr>
                <w:rFonts w:ascii="Arial" w:hAnsi="Arial" w:cs="Arial"/>
                <w:b/>
                <w:sz w:val="20"/>
                <w:szCs w:val="20"/>
              </w:rPr>
              <w:t xml:space="preserve">obs </w:t>
            </w:r>
            <w:r>
              <w:rPr>
                <w:rFonts w:ascii="Arial" w:hAnsi="Arial" w:cs="Arial"/>
                <w:b/>
                <w:sz w:val="20"/>
                <w:szCs w:val="20"/>
              </w:rPr>
              <w:t>in c</w:t>
            </w:r>
            <w:r w:rsidRPr="0097448F">
              <w:rPr>
                <w:rFonts w:ascii="Arial" w:hAnsi="Arial" w:cs="Arial"/>
                <w:b/>
                <w:sz w:val="20"/>
                <w:szCs w:val="20"/>
              </w:rPr>
              <w:t xml:space="preserve">onstruction </w:t>
            </w:r>
            <w:r>
              <w:rPr>
                <w:rFonts w:ascii="Arial" w:hAnsi="Arial" w:cs="Arial"/>
                <w:b/>
                <w:sz w:val="20"/>
                <w:szCs w:val="20"/>
              </w:rPr>
              <w:t>and e</w:t>
            </w:r>
            <w:r w:rsidRPr="0097448F">
              <w:rPr>
                <w:rFonts w:ascii="Arial" w:hAnsi="Arial" w:cs="Arial"/>
                <w:b/>
                <w:sz w:val="20"/>
                <w:szCs w:val="20"/>
              </w:rPr>
              <w:t xml:space="preserve">ngineering </w:t>
            </w: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r>
              <w:rPr>
                <w:rFonts w:ascii="Arial" w:hAnsi="Arial" w:cs="Arial"/>
                <w:sz w:val="20"/>
                <w:szCs w:val="20"/>
              </w:rPr>
              <w:t>Destinations of leavers in higher education (DLHE) into construction and engineering graduate jobs.  Additional numbers beyond the 2012/13 baseline</w:t>
            </w: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r>
              <w:rPr>
                <w:rFonts w:ascii="Arial" w:hAnsi="Arial" w:cs="Arial"/>
                <w:sz w:val="20"/>
                <w:szCs w:val="20"/>
              </w:rPr>
              <w:t>Source: DLHE Data</w:t>
            </w:r>
          </w:p>
        </w:tc>
        <w:tc>
          <w:tcPr>
            <w:tcW w:w="1161"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85</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116</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69</w:t>
            </w:r>
          </w:p>
        </w:tc>
        <w:tc>
          <w:tcPr>
            <w:tcW w:w="979"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sz w:val="20"/>
                <w:szCs w:val="20"/>
              </w:rPr>
            </w:pPr>
            <w:r>
              <w:rPr>
                <w:rFonts w:ascii="Arial" w:hAnsi="Arial" w:cs="Arial"/>
                <w:sz w:val="20"/>
                <w:szCs w:val="20"/>
              </w:rPr>
              <w:t>78</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2015/16 is the latest data available</w:t>
            </w:r>
          </w:p>
        </w:tc>
      </w:tr>
      <w:tr w:rsidR="00914890" w:rsidTr="00914890">
        <w:tc>
          <w:tcPr>
            <w:tcW w:w="4624" w:type="dxa"/>
            <w:tcBorders>
              <w:top w:val="single" w:sz="4" w:space="0" w:color="auto"/>
              <w:left w:val="single" w:sz="4" w:space="0" w:color="auto"/>
              <w:bottom w:val="single" w:sz="4" w:space="0" w:color="auto"/>
              <w:right w:val="single" w:sz="4" w:space="0" w:color="auto"/>
            </w:tcBorders>
          </w:tcPr>
          <w:p w:rsidR="00914890" w:rsidRPr="0097448F" w:rsidRDefault="00914890" w:rsidP="003C118F">
            <w:pPr>
              <w:rPr>
                <w:rFonts w:ascii="Arial" w:hAnsi="Arial" w:cs="Arial"/>
                <w:b/>
                <w:sz w:val="20"/>
                <w:szCs w:val="20"/>
              </w:rPr>
            </w:pPr>
            <w:r>
              <w:rPr>
                <w:rFonts w:ascii="Arial" w:hAnsi="Arial" w:cs="Arial"/>
                <w:b/>
                <w:sz w:val="20"/>
                <w:szCs w:val="20"/>
              </w:rPr>
              <w:t>4</w:t>
            </w:r>
            <w:r w:rsidRPr="0097448F">
              <w:rPr>
                <w:rFonts w:ascii="Arial" w:hAnsi="Arial" w:cs="Arial"/>
                <w:b/>
                <w:sz w:val="20"/>
                <w:szCs w:val="20"/>
              </w:rPr>
              <w:t xml:space="preserve">. HE leavers getting </w:t>
            </w:r>
            <w:r>
              <w:rPr>
                <w:rFonts w:ascii="Arial" w:hAnsi="Arial" w:cs="Arial"/>
                <w:b/>
                <w:sz w:val="20"/>
                <w:szCs w:val="20"/>
              </w:rPr>
              <w:t>g</w:t>
            </w:r>
            <w:r w:rsidRPr="0097448F">
              <w:rPr>
                <w:rFonts w:ascii="Arial" w:hAnsi="Arial" w:cs="Arial"/>
                <w:b/>
                <w:sz w:val="20"/>
                <w:szCs w:val="20"/>
              </w:rPr>
              <w:t>raduate</w:t>
            </w:r>
            <w:r>
              <w:rPr>
                <w:rFonts w:ascii="Arial" w:hAnsi="Arial" w:cs="Arial"/>
                <w:b/>
                <w:sz w:val="20"/>
                <w:szCs w:val="20"/>
              </w:rPr>
              <w:t xml:space="preserve"> j</w:t>
            </w:r>
            <w:r w:rsidRPr="0097448F">
              <w:rPr>
                <w:rFonts w:ascii="Arial" w:hAnsi="Arial" w:cs="Arial"/>
                <w:b/>
                <w:sz w:val="20"/>
                <w:szCs w:val="20"/>
              </w:rPr>
              <w:t>obs</w:t>
            </w:r>
            <w:r>
              <w:rPr>
                <w:rFonts w:ascii="Arial" w:hAnsi="Arial" w:cs="Arial"/>
                <w:b/>
                <w:sz w:val="20"/>
                <w:szCs w:val="20"/>
              </w:rPr>
              <w:t xml:space="preserve"> in all sectors</w:t>
            </w: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r>
              <w:rPr>
                <w:rFonts w:ascii="Arial" w:hAnsi="Arial" w:cs="Arial"/>
                <w:sz w:val="20"/>
                <w:szCs w:val="20"/>
              </w:rPr>
              <w:t>Destinations of leavers in higher education (DLHE) into all graduate jobs.  Additional numbers beyond the 2012/13 baseline</w:t>
            </w: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r>
              <w:rPr>
                <w:rFonts w:ascii="Arial" w:hAnsi="Arial" w:cs="Arial"/>
                <w:sz w:val="20"/>
                <w:szCs w:val="20"/>
              </w:rPr>
              <w:t>Source: DLHE Data</w:t>
            </w:r>
          </w:p>
        </w:tc>
        <w:tc>
          <w:tcPr>
            <w:tcW w:w="1161"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4,223</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4,332</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4,118</w:t>
            </w:r>
          </w:p>
        </w:tc>
        <w:tc>
          <w:tcPr>
            <w:tcW w:w="979"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sz w:val="20"/>
                <w:szCs w:val="20"/>
              </w:rPr>
            </w:pPr>
            <w:r>
              <w:rPr>
                <w:rFonts w:ascii="Arial" w:hAnsi="Arial" w:cs="Arial"/>
                <w:sz w:val="20"/>
                <w:szCs w:val="20"/>
              </w:rPr>
              <w:t>4,151</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b/>
                <w:sz w:val="20"/>
                <w:szCs w:val="20"/>
              </w:rPr>
            </w:pPr>
            <w:r>
              <w:rPr>
                <w:rFonts w:ascii="Arial" w:hAnsi="Arial" w:cs="Arial"/>
                <w:sz w:val="20"/>
                <w:szCs w:val="20"/>
              </w:rPr>
              <w:t>2015/16 is the latest data available</w:t>
            </w:r>
          </w:p>
        </w:tc>
      </w:tr>
      <w:tr w:rsidR="00914890" w:rsidTr="00914890">
        <w:tc>
          <w:tcPr>
            <w:tcW w:w="4624"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sz w:val="20"/>
                <w:szCs w:val="20"/>
              </w:rPr>
            </w:pPr>
            <w:r>
              <w:rPr>
                <w:rFonts w:ascii="Arial" w:hAnsi="Arial" w:cs="Arial"/>
                <w:b/>
                <w:sz w:val="20"/>
                <w:szCs w:val="20"/>
              </w:rPr>
              <w:t xml:space="preserve">5. </w:t>
            </w:r>
            <w:r w:rsidRPr="001E7540">
              <w:rPr>
                <w:rFonts w:ascii="Arial" w:hAnsi="Arial" w:cs="Arial"/>
                <w:b/>
                <w:sz w:val="20"/>
                <w:szCs w:val="20"/>
              </w:rPr>
              <w:t>Graduate placements and</w:t>
            </w:r>
            <w:r>
              <w:rPr>
                <w:rFonts w:ascii="Arial" w:hAnsi="Arial" w:cs="Arial"/>
                <w:b/>
                <w:sz w:val="20"/>
                <w:szCs w:val="20"/>
              </w:rPr>
              <w:t xml:space="preserve"> internships across all sectors</w:t>
            </w: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r>
              <w:rPr>
                <w:rFonts w:ascii="Arial" w:hAnsi="Arial" w:cs="Arial"/>
                <w:sz w:val="20"/>
                <w:szCs w:val="20"/>
              </w:rPr>
              <w:t>Additional numbers beyond the 2012/2013 baseline</w:t>
            </w: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r>
              <w:rPr>
                <w:rFonts w:ascii="Arial" w:hAnsi="Arial" w:cs="Arial"/>
                <w:sz w:val="20"/>
                <w:szCs w:val="20"/>
              </w:rPr>
              <w:t>Source: UCLAN</w:t>
            </w:r>
          </w:p>
        </w:tc>
        <w:tc>
          <w:tcPr>
            <w:tcW w:w="1161"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323</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476</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sz w:val="20"/>
                <w:szCs w:val="20"/>
              </w:rPr>
            </w:pPr>
            <w:r>
              <w:rPr>
                <w:rFonts w:ascii="Arial" w:hAnsi="Arial" w:cs="Arial"/>
                <w:sz w:val="20"/>
                <w:szCs w:val="20"/>
              </w:rPr>
              <w:t>566</w:t>
            </w:r>
          </w:p>
        </w:tc>
        <w:tc>
          <w:tcPr>
            <w:tcW w:w="979" w:type="dxa"/>
            <w:tcBorders>
              <w:top w:val="single" w:sz="4" w:space="0" w:color="auto"/>
              <w:left w:val="single" w:sz="4" w:space="0" w:color="auto"/>
              <w:bottom w:val="single" w:sz="4" w:space="0" w:color="auto"/>
              <w:right w:val="single" w:sz="4" w:space="0" w:color="auto"/>
            </w:tcBorders>
          </w:tcPr>
          <w:p w:rsidR="00914890" w:rsidRPr="00756B82" w:rsidRDefault="00914890" w:rsidP="003C118F">
            <w:pPr>
              <w:rPr>
                <w:rFonts w:ascii="Arial" w:hAnsi="Arial" w:cs="Arial"/>
                <w:sz w:val="20"/>
                <w:szCs w:val="20"/>
              </w:rPr>
            </w:pPr>
            <w:r w:rsidRPr="00756B82">
              <w:rPr>
                <w:rFonts w:ascii="Arial" w:hAnsi="Arial" w:cs="Arial"/>
                <w:sz w:val="20"/>
                <w:szCs w:val="20"/>
              </w:rPr>
              <w:t>537</w:t>
            </w:r>
          </w:p>
        </w:tc>
        <w:tc>
          <w:tcPr>
            <w:tcW w:w="1006" w:type="dxa"/>
            <w:tcBorders>
              <w:top w:val="single" w:sz="4" w:space="0" w:color="auto"/>
              <w:left w:val="single" w:sz="4" w:space="0" w:color="auto"/>
              <w:bottom w:val="single" w:sz="4" w:space="0" w:color="auto"/>
              <w:right w:val="single" w:sz="4" w:space="0" w:color="auto"/>
            </w:tcBorders>
            <w:hideMark/>
          </w:tcPr>
          <w:p w:rsidR="00914890" w:rsidRDefault="00914890" w:rsidP="003C118F">
            <w:pPr>
              <w:rPr>
                <w:rFonts w:ascii="Arial" w:hAnsi="Arial" w:cs="Arial"/>
                <w:b/>
                <w:sz w:val="20"/>
                <w:szCs w:val="20"/>
              </w:rPr>
            </w:pPr>
            <w:r>
              <w:rPr>
                <w:rFonts w:ascii="Arial" w:hAnsi="Arial" w:cs="Arial"/>
                <w:sz w:val="20"/>
                <w:szCs w:val="20"/>
              </w:rPr>
              <w:t>2015/16 is the latest data available</w:t>
            </w:r>
          </w:p>
        </w:tc>
      </w:tr>
      <w:tr w:rsidR="00914890" w:rsidTr="00914890">
        <w:tc>
          <w:tcPr>
            <w:tcW w:w="4624" w:type="dxa"/>
            <w:tcBorders>
              <w:top w:val="single" w:sz="4" w:space="0" w:color="auto"/>
              <w:left w:val="single" w:sz="4" w:space="0" w:color="auto"/>
              <w:bottom w:val="single" w:sz="4" w:space="0" w:color="auto"/>
              <w:right w:val="single" w:sz="4" w:space="0" w:color="auto"/>
            </w:tcBorders>
          </w:tcPr>
          <w:p w:rsidR="00914890" w:rsidRPr="001E7540" w:rsidRDefault="00914890" w:rsidP="003C118F">
            <w:pPr>
              <w:rPr>
                <w:rFonts w:ascii="Arial" w:hAnsi="Arial" w:cs="Arial"/>
                <w:b/>
                <w:sz w:val="20"/>
                <w:szCs w:val="20"/>
              </w:rPr>
            </w:pPr>
            <w:r>
              <w:rPr>
                <w:rFonts w:ascii="Arial" w:hAnsi="Arial" w:cs="Arial"/>
                <w:b/>
                <w:sz w:val="20"/>
                <w:szCs w:val="20"/>
              </w:rPr>
              <w:t xml:space="preserve">6. </w:t>
            </w:r>
            <w:r w:rsidRPr="001E7540">
              <w:rPr>
                <w:rFonts w:ascii="Arial" w:hAnsi="Arial" w:cs="Arial"/>
                <w:b/>
                <w:sz w:val="20"/>
                <w:szCs w:val="20"/>
              </w:rPr>
              <w:t xml:space="preserve">New students choosing STEM and construction undergraduate degree subjects at </w:t>
            </w:r>
            <w:proofErr w:type="spellStart"/>
            <w:r w:rsidRPr="001E7540">
              <w:rPr>
                <w:rFonts w:ascii="Arial" w:hAnsi="Arial" w:cs="Arial"/>
                <w:b/>
                <w:sz w:val="20"/>
                <w:szCs w:val="20"/>
              </w:rPr>
              <w:t>UCLan</w:t>
            </w:r>
            <w:proofErr w:type="spellEnd"/>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r>
              <w:rPr>
                <w:rFonts w:ascii="Arial" w:hAnsi="Arial" w:cs="Arial"/>
                <w:sz w:val="20"/>
                <w:szCs w:val="20"/>
              </w:rPr>
              <w:t>Source: UCLAN</w:t>
            </w:r>
          </w:p>
        </w:tc>
        <w:tc>
          <w:tcPr>
            <w:tcW w:w="1161"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sz w:val="20"/>
                <w:szCs w:val="20"/>
              </w:rPr>
            </w:pPr>
            <w:r>
              <w:rPr>
                <w:rFonts w:ascii="Arial" w:hAnsi="Arial" w:cs="Arial"/>
                <w:sz w:val="20"/>
                <w:szCs w:val="20"/>
              </w:rPr>
              <w:t>1,359</w:t>
            </w:r>
          </w:p>
        </w:tc>
        <w:tc>
          <w:tcPr>
            <w:tcW w:w="1006"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sz w:val="20"/>
                <w:szCs w:val="20"/>
              </w:rPr>
            </w:pPr>
            <w:r>
              <w:rPr>
                <w:rFonts w:ascii="Arial" w:hAnsi="Arial" w:cs="Arial"/>
                <w:sz w:val="20"/>
                <w:szCs w:val="20"/>
              </w:rPr>
              <w:t>1,431</w:t>
            </w:r>
          </w:p>
        </w:tc>
        <w:tc>
          <w:tcPr>
            <w:tcW w:w="1006"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sz w:val="20"/>
                <w:szCs w:val="20"/>
              </w:rPr>
            </w:pPr>
            <w:r>
              <w:rPr>
                <w:rFonts w:ascii="Arial" w:hAnsi="Arial" w:cs="Arial"/>
                <w:sz w:val="20"/>
                <w:szCs w:val="20"/>
              </w:rPr>
              <w:t>1,988</w:t>
            </w:r>
          </w:p>
        </w:tc>
        <w:tc>
          <w:tcPr>
            <w:tcW w:w="979"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sz w:val="20"/>
                <w:szCs w:val="20"/>
              </w:rPr>
            </w:pPr>
            <w:r>
              <w:rPr>
                <w:rFonts w:ascii="Arial" w:hAnsi="Arial" w:cs="Arial"/>
                <w:sz w:val="20"/>
                <w:szCs w:val="20"/>
              </w:rPr>
              <w:t>2,146</w:t>
            </w:r>
          </w:p>
        </w:tc>
        <w:tc>
          <w:tcPr>
            <w:tcW w:w="1006"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sz w:val="20"/>
                <w:szCs w:val="20"/>
              </w:rPr>
            </w:pPr>
            <w:r>
              <w:rPr>
                <w:rFonts w:ascii="Arial" w:hAnsi="Arial" w:cs="Arial"/>
                <w:sz w:val="20"/>
                <w:szCs w:val="20"/>
              </w:rPr>
              <w:t>2015/16 is the latest data available</w:t>
            </w:r>
          </w:p>
        </w:tc>
      </w:tr>
      <w:tr w:rsidR="00914890" w:rsidRPr="006A78C6" w:rsidTr="00914890">
        <w:tc>
          <w:tcPr>
            <w:tcW w:w="4624" w:type="dxa"/>
            <w:tcBorders>
              <w:top w:val="single" w:sz="4" w:space="0" w:color="auto"/>
              <w:left w:val="single" w:sz="4" w:space="0" w:color="auto"/>
              <w:bottom w:val="single" w:sz="4" w:space="0" w:color="auto"/>
              <w:right w:val="single" w:sz="4" w:space="0" w:color="auto"/>
            </w:tcBorders>
          </w:tcPr>
          <w:p w:rsidR="00914890" w:rsidRPr="004F25F7" w:rsidRDefault="00914890" w:rsidP="003C118F">
            <w:pPr>
              <w:rPr>
                <w:rFonts w:ascii="Arial" w:hAnsi="Arial" w:cs="Arial"/>
                <w:b/>
                <w:sz w:val="20"/>
                <w:szCs w:val="20"/>
              </w:rPr>
            </w:pPr>
            <w:r>
              <w:rPr>
                <w:rFonts w:ascii="Arial" w:hAnsi="Arial" w:cs="Arial"/>
                <w:b/>
                <w:sz w:val="20"/>
                <w:szCs w:val="20"/>
              </w:rPr>
              <w:t xml:space="preserve">7. </w:t>
            </w:r>
            <w:r w:rsidRPr="004F25F7">
              <w:rPr>
                <w:rFonts w:ascii="Arial" w:hAnsi="Arial" w:cs="Arial"/>
                <w:b/>
                <w:sz w:val="20"/>
                <w:szCs w:val="20"/>
              </w:rPr>
              <w:t xml:space="preserve">Job Seekers Allowance (JSA) and Universal Credit (UC) claimants </w:t>
            </w:r>
          </w:p>
          <w:p w:rsidR="00914890" w:rsidRDefault="00914890" w:rsidP="003C118F">
            <w:pPr>
              <w:rPr>
                <w:rFonts w:ascii="Arial" w:hAnsi="Arial" w:cs="Arial"/>
                <w:sz w:val="20"/>
                <w:szCs w:val="20"/>
              </w:rPr>
            </w:pPr>
          </w:p>
          <w:p w:rsidR="00914890" w:rsidRPr="0097448F" w:rsidRDefault="00914890" w:rsidP="003C118F">
            <w:pPr>
              <w:rPr>
                <w:rFonts w:ascii="Arial" w:hAnsi="Arial" w:cs="Arial"/>
                <w:sz w:val="20"/>
                <w:szCs w:val="20"/>
              </w:rPr>
            </w:pPr>
            <w:r w:rsidRPr="0097448F">
              <w:rPr>
                <w:rFonts w:ascii="Arial" w:hAnsi="Arial" w:cs="Arial"/>
                <w:sz w:val="20"/>
                <w:szCs w:val="20"/>
              </w:rPr>
              <w:t xml:space="preserve">A reduction in the overall numbers of active job seekers, who are receiving </w:t>
            </w:r>
            <w:r>
              <w:rPr>
                <w:rFonts w:ascii="Arial" w:hAnsi="Arial" w:cs="Arial"/>
                <w:sz w:val="20"/>
                <w:szCs w:val="20"/>
              </w:rPr>
              <w:t>JSA</w:t>
            </w:r>
            <w:r w:rsidRPr="0097448F">
              <w:rPr>
                <w:rFonts w:ascii="Arial" w:hAnsi="Arial" w:cs="Arial"/>
                <w:sz w:val="20"/>
                <w:szCs w:val="20"/>
              </w:rPr>
              <w:t xml:space="preserve"> </w:t>
            </w:r>
            <w:r>
              <w:rPr>
                <w:rFonts w:ascii="Arial" w:hAnsi="Arial" w:cs="Arial"/>
                <w:sz w:val="20"/>
                <w:szCs w:val="20"/>
              </w:rPr>
              <w:t>and UC</w:t>
            </w:r>
            <w:r w:rsidRPr="0097448F">
              <w:rPr>
                <w:rFonts w:ascii="Arial" w:hAnsi="Arial" w:cs="Arial"/>
                <w:sz w:val="20"/>
                <w:szCs w:val="20"/>
              </w:rPr>
              <w:t xml:space="preserve"> claimants in Preston and South Ribble.</w:t>
            </w:r>
          </w:p>
          <w:p w:rsidR="00914890" w:rsidRPr="0097448F" w:rsidRDefault="00914890" w:rsidP="003C118F">
            <w:pPr>
              <w:rPr>
                <w:rFonts w:ascii="Arial" w:hAnsi="Arial" w:cs="Arial"/>
                <w:sz w:val="20"/>
                <w:szCs w:val="20"/>
              </w:rPr>
            </w:pPr>
          </w:p>
          <w:p w:rsidR="00914890" w:rsidRPr="0097448F" w:rsidRDefault="00914890" w:rsidP="003C118F">
            <w:pPr>
              <w:rPr>
                <w:rFonts w:ascii="Arial" w:hAnsi="Arial" w:cs="Arial"/>
                <w:sz w:val="20"/>
                <w:szCs w:val="20"/>
              </w:rPr>
            </w:pPr>
            <w:r w:rsidRPr="0097448F">
              <w:rPr>
                <w:rFonts w:ascii="Arial" w:hAnsi="Arial" w:cs="Arial"/>
                <w:sz w:val="20"/>
                <w:szCs w:val="20"/>
              </w:rPr>
              <w:t>Source: NOMIS</w:t>
            </w:r>
          </w:p>
        </w:tc>
        <w:tc>
          <w:tcPr>
            <w:tcW w:w="1161" w:type="dxa"/>
            <w:tcBorders>
              <w:top w:val="single" w:sz="4" w:space="0" w:color="auto"/>
              <w:left w:val="single" w:sz="4" w:space="0" w:color="auto"/>
              <w:bottom w:val="single" w:sz="4" w:space="0" w:color="auto"/>
              <w:right w:val="single" w:sz="4" w:space="0" w:color="auto"/>
            </w:tcBorders>
            <w:hideMark/>
          </w:tcPr>
          <w:p w:rsidR="00914890" w:rsidRPr="0097448F" w:rsidRDefault="00914890" w:rsidP="003C118F">
            <w:pPr>
              <w:rPr>
                <w:rFonts w:ascii="Arial" w:hAnsi="Arial" w:cs="Arial"/>
                <w:b/>
                <w:sz w:val="20"/>
                <w:szCs w:val="20"/>
              </w:rPr>
            </w:pPr>
            <w:r w:rsidRPr="0097448F">
              <w:rPr>
                <w:rFonts w:ascii="Arial" w:hAnsi="Arial" w:cs="Arial"/>
                <w:b/>
                <w:sz w:val="20"/>
                <w:szCs w:val="20"/>
              </w:rPr>
              <w:t xml:space="preserve">April 2013 – </w:t>
            </w:r>
            <w:r w:rsidRPr="0097448F">
              <w:rPr>
                <w:rFonts w:ascii="Arial" w:hAnsi="Arial" w:cs="Arial"/>
                <w:sz w:val="20"/>
                <w:szCs w:val="20"/>
              </w:rPr>
              <w:t>not available</w:t>
            </w:r>
          </w:p>
        </w:tc>
        <w:tc>
          <w:tcPr>
            <w:tcW w:w="1006" w:type="dxa"/>
            <w:tcBorders>
              <w:top w:val="single" w:sz="4" w:space="0" w:color="auto"/>
              <w:left w:val="single" w:sz="4" w:space="0" w:color="auto"/>
              <w:bottom w:val="single" w:sz="4" w:space="0" w:color="auto"/>
              <w:right w:val="single" w:sz="4" w:space="0" w:color="auto"/>
            </w:tcBorders>
            <w:hideMark/>
          </w:tcPr>
          <w:p w:rsidR="00914890" w:rsidRPr="0097448F" w:rsidRDefault="00914890" w:rsidP="003C118F">
            <w:pPr>
              <w:rPr>
                <w:rFonts w:ascii="Arial" w:hAnsi="Arial" w:cs="Arial"/>
                <w:b/>
                <w:sz w:val="20"/>
                <w:szCs w:val="20"/>
              </w:rPr>
            </w:pPr>
            <w:r w:rsidRPr="0097448F">
              <w:rPr>
                <w:rFonts w:ascii="Arial" w:hAnsi="Arial" w:cs="Arial"/>
                <w:b/>
                <w:sz w:val="20"/>
                <w:szCs w:val="20"/>
              </w:rPr>
              <w:t xml:space="preserve">April 2014 </w:t>
            </w:r>
            <w:r>
              <w:rPr>
                <w:rFonts w:ascii="Arial" w:hAnsi="Arial" w:cs="Arial"/>
                <w:b/>
                <w:sz w:val="20"/>
                <w:szCs w:val="20"/>
              </w:rPr>
              <w:t>–</w:t>
            </w:r>
            <w:r w:rsidRPr="0097448F">
              <w:rPr>
                <w:rFonts w:ascii="Arial" w:hAnsi="Arial" w:cs="Arial"/>
                <w:b/>
                <w:sz w:val="20"/>
                <w:szCs w:val="20"/>
              </w:rPr>
              <w:t xml:space="preserve"> </w:t>
            </w:r>
            <w:r w:rsidRPr="0097448F">
              <w:rPr>
                <w:rFonts w:ascii="Arial" w:hAnsi="Arial" w:cs="Arial"/>
                <w:sz w:val="20"/>
                <w:szCs w:val="20"/>
              </w:rPr>
              <w:t>3</w:t>
            </w:r>
            <w:r>
              <w:rPr>
                <w:rFonts w:ascii="Arial" w:hAnsi="Arial" w:cs="Arial"/>
                <w:sz w:val="20"/>
                <w:szCs w:val="20"/>
              </w:rPr>
              <w:t>,</w:t>
            </w:r>
            <w:r w:rsidRPr="0097448F">
              <w:rPr>
                <w:rFonts w:ascii="Arial" w:hAnsi="Arial" w:cs="Arial"/>
                <w:sz w:val="20"/>
                <w:szCs w:val="20"/>
              </w:rPr>
              <w:t>705</w:t>
            </w:r>
          </w:p>
        </w:tc>
        <w:tc>
          <w:tcPr>
            <w:tcW w:w="1006" w:type="dxa"/>
            <w:tcBorders>
              <w:top w:val="single" w:sz="4" w:space="0" w:color="auto"/>
              <w:left w:val="single" w:sz="4" w:space="0" w:color="auto"/>
              <w:bottom w:val="single" w:sz="4" w:space="0" w:color="auto"/>
              <w:right w:val="single" w:sz="4" w:space="0" w:color="auto"/>
            </w:tcBorders>
            <w:hideMark/>
          </w:tcPr>
          <w:p w:rsidR="00914890" w:rsidRPr="006A78C6" w:rsidRDefault="00914890" w:rsidP="003C118F">
            <w:pPr>
              <w:rPr>
                <w:rFonts w:ascii="Arial" w:hAnsi="Arial" w:cs="Arial"/>
                <w:b/>
                <w:color w:val="FF0000"/>
                <w:sz w:val="20"/>
                <w:szCs w:val="20"/>
              </w:rPr>
            </w:pPr>
            <w:r w:rsidRPr="0097448F">
              <w:rPr>
                <w:rFonts w:ascii="Arial" w:hAnsi="Arial" w:cs="Arial"/>
                <w:b/>
                <w:sz w:val="20"/>
                <w:szCs w:val="20"/>
              </w:rPr>
              <w:t xml:space="preserve">April 2015 </w:t>
            </w:r>
            <w:r>
              <w:rPr>
                <w:rFonts w:ascii="Arial" w:hAnsi="Arial" w:cs="Arial"/>
                <w:b/>
                <w:sz w:val="20"/>
                <w:szCs w:val="20"/>
              </w:rPr>
              <w:t>–</w:t>
            </w:r>
            <w:r w:rsidRPr="0097448F">
              <w:rPr>
                <w:rFonts w:ascii="Arial" w:hAnsi="Arial" w:cs="Arial"/>
                <w:b/>
                <w:sz w:val="20"/>
                <w:szCs w:val="20"/>
              </w:rPr>
              <w:t xml:space="preserve"> </w:t>
            </w:r>
            <w:r>
              <w:rPr>
                <w:rFonts w:ascii="Arial" w:hAnsi="Arial" w:cs="Arial"/>
                <w:sz w:val="20"/>
                <w:szCs w:val="20"/>
              </w:rPr>
              <w:t>2,855</w:t>
            </w:r>
          </w:p>
        </w:tc>
        <w:tc>
          <w:tcPr>
            <w:tcW w:w="979" w:type="dxa"/>
            <w:tcBorders>
              <w:top w:val="single" w:sz="4" w:space="0" w:color="auto"/>
              <w:left w:val="single" w:sz="4" w:space="0" w:color="auto"/>
              <w:bottom w:val="single" w:sz="4" w:space="0" w:color="auto"/>
              <w:right w:val="single" w:sz="4" w:space="0" w:color="auto"/>
            </w:tcBorders>
          </w:tcPr>
          <w:p w:rsidR="00914890" w:rsidRPr="006A78C6" w:rsidRDefault="00914890" w:rsidP="003C118F">
            <w:pPr>
              <w:rPr>
                <w:rFonts w:ascii="Arial" w:hAnsi="Arial" w:cs="Arial"/>
                <w:color w:val="FF0000"/>
                <w:sz w:val="20"/>
                <w:szCs w:val="20"/>
              </w:rPr>
            </w:pPr>
            <w:r w:rsidRPr="0097448F">
              <w:rPr>
                <w:rFonts w:ascii="Arial" w:hAnsi="Arial" w:cs="Arial"/>
                <w:b/>
                <w:sz w:val="20"/>
                <w:szCs w:val="20"/>
              </w:rPr>
              <w:t xml:space="preserve">April 2016 - </w:t>
            </w:r>
            <w:r>
              <w:rPr>
                <w:rFonts w:ascii="Arial" w:hAnsi="Arial" w:cs="Arial"/>
                <w:sz w:val="20"/>
                <w:szCs w:val="20"/>
              </w:rPr>
              <w:t>290</w:t>
            </w:r>
            <w:r w:rsidRPr="0097448F">
              <w:rPr>
                <w:rFonts w:ascii="Arial" w:hAnsi="Arial" w:cs="Arial"/>
                <w:sz w:val="20"/>
                <w:szCs w:val="20"/>
              </w:rPr>
              <w:t>0</w:t>
            </w:r>
          </w:p>
        </w:tc>
        <w:tc>
          <w:tcPr>
            <w:tcW w:w="1006" w:type="dxa"/>
            <w:tcBorders>
              <w:top w:val="single" w:sz="4" w:space="0" w:color="auto"/>
              <w:left w:val="single" w:sz="4" w:space="0" w:color="auto"/>
              <w:bottom w:val="single" w:sz="4" w:space="0" w:color="auto"/>
              <w:right w:val="single" w:sz="4" w:space="0" w:color="auto"/>
            </w:tcBorders>
            <w:hideMark/>
          </w:tcPr>
          <w:p w:rsidR="00914890" w:rsidRPr="0097448F" w:rsidRDefault="00914890" w:rsidP="003C118F">
            <w:pPr>
              <w:rPr>
                <w:rFonts w:ascii="Arial" w:hAnsi="Arial" w:cs="Arial"/>
                <w:b/>
                <w:sz w:val="20"/>
                <w:szCs w:val="20"/>
              </w:rPr>
            </w:pPr>
            <w:r w:rsidRPr="0097448F">
              <w:rPr>
                <w:rFonts w:ascii="Arial" w:hAnsi="Arial" w:cs="Arial"/>
                <w:b/>
                <w:sz w:val="20"/>
                <w:szCs w:val="20"/>
              </w:rPr>
              <w:t>April 2017 -</w:t>
            </w:r>
          </w:p>
          <w:p w:rsidR="00914890" w:rsidRPr="0097448F" w:rsidRDefault="00914890" w:rsidP="003C118F">
            <w:pPr>
              <w:rPr>
                <w:rFonts w:ascii="Arial" w:hAnsi="Arial" w:cs="Arial"/>
                <w:color w:val="FF0000"/>
                <w:sz w:val="20"/>
                <w:szCs w:val="20"/>
              </w:rPr>
            </w:pPr>
            <w:r w:rsidRPr="0097448F">
              <w:rPr>
                <w:rFonts w:ascii="Arial" w:hAnsi="Arial" w:cs="Arial"/>
                <w:sz w:val="20"/>
                <w:szCs w:val="20"/>
              </w:rPr>
              <w:t>3175</w:t>
            </w:r>
          </w:p>
        </w:tc>
      </w:tr>
      <w:tr w:rsidR="00914890" w:rsidTr="00914890">
        <w:trPr>
          <w:trHeight w:val="1672"/>
        </w:trPr>
        <w:tc>
          <w:tcPr>
            <w:tcW w:w="4624"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b/>
                <w:sz w:val="20"/>
                <w:szCs w:val="20"/>
              </w:rPr>
            </w:pPr>
            <w:r w:rsidRPr="004F25F7">
              <w:rPr>
                <w:rFonts w:ascii="Arial" w:hAnsi="Arial" w:cs="Arial"/>
                <w:b/>
                <w:sz w:val="20"/>
                <w:szCs w:val="20"/>
              </w:rPr>
              <w:lastRenderedPageBreak/>
              <w:t>8. Number of interventions/ activities promoting City Deal and construction career opportunities with:</w:t>
            </w:r>
          </w:p>
          <w:p w:rsidR="00914890" w:rsidRPr="004F25F7" w:rsidRDefault="00914890" w:rsidP="003C118F">
            <w:pPr>
              <w:rPr>
                <w:rFonts w:ascii="Arial" w:hAnsi="Arial" w:cs="Arial"/>
                <w:b/>
                <w:sz w:val="20"/>
                <w:szCs w:val="20"/>
              </w:rPr>
            </w:pPr>
          </w:p>
          <w:p w:rsidR="00914890" w:rsidRDefault="00914890" w:rsidP="003C118F">
            <w:pPr>
              <w:pStyle w:val="ListParagraph"/>
              <w:numPr>
                <w:ilvl w:val="0"/>
                <w:numId w:val="8"/>
              </w:numPr>
              <w:rPr>
                <w:rFonts w:ascii="Arial" w:hAnsi="Arial" w:cs="Arial"/>
                <w:sz w:val="20"/>
                <w:szCs w:val="20"/>
              </w:rPr>
            </w:pPr>
            <w:r>
              <w:rPr>
                <w:rFonts w:ascii="Arial" w:hAnsi="Arial" w:cs="Arial"/>
                <w:sz w:val="20"/>
                <w:szCs w:val="20"/>
              </w:rPr>
              <w:t xml:space="preserve">Young People, </w:t>
            </w:r>
          </w:p>
          <w:p w:rsidR="00914890" w:rsidRDefault="00914890" w:rsidP="003C118F">
            <w:pPr>
              <w:pStyle w:val="ListParagraph"/>
              <w:numPr>
                <w:ilvl w:val="0"/>
                <w:numId w:val="8"/>
              </w:numPr>
              <w:rPr>
                <w:rFonts w:ascii="Arial" w:hAnsi="Arial" w:cs="Arial"/>
                <w:sz w:val="20"/>
                <w:szCs w:val="20"/>
              </w:rPr>
            </w:pPr>
            <w:r>
              <w:rPr>
                <w:rFonts w:ascii="Arial" w:hAnsi="Arial" w:cs="Arial"/>
                <w:sz w:val="20"/>
                <w:szCs w:val="20"/>
              </w:rPr>
              <w:t>Teachers/IAG practitioners,</w:t>
            </w:r>
          </w:p>
          <w:p w:rsidR="00914890" w:rsidRDefault="00914890" w:rsidP="003C118F">
            <w:pPr>
              <w:pStyle w:val="ListParagraph"/>
              <w:numPr>
                <w:ilvl w:val="0"/>
                <w:numId w:val="8"/>
              </w:numPr>
              <w:rPr>
                <w:rFonts w:ascii="Arial" w:hAnsi="Arial" w:cs="Arial"/>
                <w:sz w:val="20"/>
                <w:szCs w:val="20"/>
              </w:rPr>
            </w:pPr>
            <w:r>
              <w:rPr>
                <w:rFonts w:ascii="Arial" w:hAnsi="Arial" w:cs="Arial"/>
                <w:sz w:val="20"/>
                <w:szCs w:val="20"/>
              </w:rPr>
              <w:t>Parents, and</w:t>
            </w:r>
          </w:p>
          <w:p w:rsidR="00914890" w:rsidRDefault="00914890" w:rsidP="003C118F">
            <w:pPr>
              <w:pStyle w:val="ListParagraph"/>
              <w:numPr>
                <w:ilvl w:val="0"/>
                <w:numId w:val="8"/>
              </w:numPr>
              <w:rPr>
                <w:rFonts w:ascii="Arial" w:hAnsi="Arial" w:cs="Arial"/>
                <w:sz w:val="20"/>
                <w:szCs w:val="20"/>
              </w:rPr>
            </w:pPr>
            <w:r>
              <w:rPr>
                <w:rFonts w:ascii="Arial" w:hAnsi="Arial" w:cs="Arial"/>
                <w:sz w:val="20"/>
                <w:szCs w:val="20"/>
              </w:rPr>
              <w:t>Education Institutions</w:t>
            </w:r>
          </w:p>
          <w:p w:rsidR="00914890" w:rsidRDefault="00914890" w:rsidP="003C118F">
            <w:pPr>
              <w:pStyle w:val="ListParagraph"/>
              <w:rPr>
                <w:rFonts w:ascii="Arial" w:hAnsi="Arial" w:cs="Arial"/>
                <w:sz w:val="20"/>
                <w:szCs w:val="20"/>
              </w:rPr>
            </w:pPr>
          </w:p>
          <w:p w:rsidR="00914890" w:rsidRDefault="00914890" w:rsidP="003C118F">
            <w:pPr>
              <w:rPr>
                <w:rFonts w:ascii="Arial" w:hAnsi="Arial" w:cs="Arial"/>
                <w:sz w:val="20"/>
                <w:szCs w:val="20"/>
              </w:rPr>
            </w:pPr>
            <w:r>
              <w:rPr>
                <w:rFonts w:ascii="Arial" w:hAnsi="Arial" w:cs="Arial"/>
                <w:sz w:val="20"/>
                <w:szCs w:val="20"/>
              </w:rPr>
              <w:t xml:space="preserve">Source:  Preston's College, Future U, </w:t>
            </w:r>
            <w:proofErr w:type="spellStart"/>
            <w:r>
              <w:rPr>
                <w:rFonts w:ascii="Arial" w:hAnsi="Arial" w:cs="Arial"/>
                <w:sz w:val="20"/>
                <w:szCs w:val="20"/>
              </w:rPr>
              <w:t>STEMFirst</w:t>
            </w:r>
            <w:proofErr w:type="spellEnd"/>
            <w:r>
              <w:rPr>
                <w:rFonts w:ascii="Arial" w:hAnsi="Arial" w:cs="Arial"/>
                <w:sz w:val="20"/>
                <w:szCs w:val="20"/>
              </w:rPr>
              <w:t xml:space="preserve"> and UCLAN</w:t>
            </w:r>
          </w:p>
        </w:tc>
        <w:tc>
          <w:tcPr>
            <w:tcW w:w="1161"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r>
              <w:rPr>
                <w:rFonts w:ascii="Arial" w:hAnsi="Arial" w:cs="Arial"/>
                <w:sz w:val="20"/>
                <w:szCs w:val="20"/>
              </w:rPr>
              <w:t>Not available</w:t>
            </w:r>
          </w:p>
        </w:tc>
        <w:tc>
          <w:tcPr>
            <w:tcW w:w="1006"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r>
              <w:rPr>
                <w:rFonts w:ascii="Arial" w:hAnsi="Arial" w:cs="Arial"/>
                <w:sz w:val="20"/>
                <w:szCs w:val="20"/>
              </w:rPr>
              <w:t>Not available</w:t>
            </w:r>
          </w:p>
        </w:tc>
        <w:tc>
          <w:tcPr>
            <w:tcW w:w="1006" w:type="dxa"/>
            <w:tcBorders>
              <w:top w:val="single" w:sz="4" w:space="0" w:color="auto"/>
              <w:left w:val="single" w:sz="4" w:space="0" w:color="auto"/>
              <w:bottom w:val="single" w:sz="4" w:space="0" w:color="auto"/>
              <w:right w:val="single" w:sz="4" w:space="0" w:color="auto"/>
            </w:tcBorders>
          </w:tcPr>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p>
          <w:p w:rsidR="00914890" w:rsidRDefault="00914890" w:rsidP="003C118F">
            <w:pPr>
              <w:rPr>
                <w:rFonts w:ascii="Arial" w:hAnsi="Arial" w:cs="Arial"/>
                <w:sz w:val="20"/>
                <w:szCs w:val="20"/>
              </w:rPr>
            </w:pPr>
            <w:r>
              <w:rPr>
                <w:rFonts w:ascii="Arial" w:hAnsi="Arial" w:cs="Arial"/>
                <w:sz w:val="20"/>
                <w:szCs w:val="20"/>
              </w:rPr>
              <w:t>Not available</w:t>
            </w:r>
          </w:p>
        </w:tc>
        <w:tc>
          <w:tcPr>
            <w:tcW w:w="979" w:type="dxa"/>
            <w:tcBorders>
              <w:top w:val="single" w:sz="4" w:space="0" w:color="auto"/>
              <w:left w:val="single" w:sz="4" w:space="0" w:color="auto"/>
              <w:bottom w:val="single" w:sz="4" w:space="0" w:color="auto"/>
              <w:right w:val="single" w:sz="4" w:space="0" w:color="auto"/>
            </w:tcBorders>
          </w:tcPr>
          <w:p w:rsidR="00914890" w:rsidRPr="00FE4923" w:rsidRDefault="00914890" w:rsidP="003C118F">
            <w:pPr>
              <w:rPr>
                <w:rFonts w:ascii="Arial" w:hAnsi="Arial" w:cs="Arial"/>
                <w:b/>
                <w:sz w:val="20"/>
                <w:szCs w:val="20"/>
              </w:rPr>
            </w:pPr>
          </w:p>
          <w:p w:rsidR="00914890" w:rsidRPr="00FE4923" w:rsidRDefault="00914890" w:rsidP="003C118F">
            <w:pPr>
              <w:rPr>
                <w:rFonts w:ascii="Arial" w:hAnsi="Arial" w:cs="Arial"/>
                <w:b/>
                <w:sz w:val="20"/>
                <w:szCs w:val="20"/>
              </w:rPr>
            </w:pPr>
          </w:p>
          <w:p w:rsidR="00914890" w:rsidRPr="00FE4923" w:rsidRDefault="00914890" w:rsidP="003C118F">
            <w:pPr>
              <w:rPr>
                <w:rFonts w:ascii="Arial" w:hAnsi="Arial" w:cs="Arial"/>
                <w:b/>
                <w:sz w:val="20"/>
                <w:szCs w:val="20"/>
              </w:rPr>
            </w:pPr>
          </w:p>
          <w:p w:rsidR="00914890" w:rsidRPr="00FE4923" w:rsidRDefault="00914890" w:rsidP="003C118F">
            <w:pPr>
              <w:rPr>
                <w:rFonts w:ascii="Arial" w:hAnsi="Arial" w:cs="Arial"/>
                <w:b/>
                <w:sz w:val="20"/>
                <w:szCs w:val="20"/>
              </w:rPr>
            </w:pPr>
          </w:p>
          <w:p w:rsidR="00914890" w:rsidRPr="00FE4923" w:rsidRDefault="00914890" w:rsidP="003C118F">
            <w:pPr>
              <w:rPr>
                <w:rFonts w:ascii="Arial" w:hAnsi="Arial" w:cs="Arial"/>
                <w:sz w:val="20"/>
                <w:szCs w:val="20"/>
              </w:rPr>
            </w:pPr>
            <w:r w:rsidRPr="00FE4923">
              <w:rPr>
                <w:rFonts w:ascii="Arial" w:hAnsi="Arial" w:cs="Arial"/>
                <w:sz w:val="20"/>
                <w:szCs w:val="20"/>
              </w:rPr>
              <w:t>A 660</w:t>
            </w:r>
          </w:p>
          <w:p w:rsidR="00914890" w:rsidRPr="00FE4923" w:rsidRDefault="00914890" w:rsidP="003C118F">
            <w:pPr>
              <w:rPr>
                <w:rFonts w:ascii="Arial" w:hAnsi="Arial" w:cs="Arial"/>
                <w:sz w:val="20"/>
                <w:szCs w:val="20"/>
              </w:rPr>
            </w:pPr>
            <w:r w:rsidRPr="00FE4923">
              <w:rPr>
                <w:rFonts w:ascii="Arial" w:hAnsi="Arial" w:cs="Arial"/>
                <w:sz w:val="20"/>
                <w:szCs w:val="20"/>
              </w:rPr>
              <w:t>B 150</w:t>
            </w:r>
          </w:p>
          <w:p w:rsidR="00914890" w:rsidRPr="00FE4923" w:rsidRDefault="00914890" w:rsidP="003C118F">
            <w:pPr>
              <w:rPr>
                <w:rFonts w:ascii="Arial" w:hAnsi="Arial" w:cs="Arial"/>
                <w:sz w:val="20"/>
                <w:szCs w:val="20"/>
              </w:rPr>
            </w:pPr>
            <w:r w:rsidRPr="00FE4923">
              <w:rPr>
                <w:rFonts w:ascii="Arial" w:hAnsi="Arial" w:cs="Arial"/>
                <w:sz w:val="20"/>
                <w:szCs w:val="20"/>
              </w:rPr>
              <w:t>C 100</w:t>
            </w:r>
          </w:p>
          <w:p w:rsidR="00914890" w:rsidRPr="00FE4923" w:rsidRDefault="00914890" w:rsidP="003C118F">
            <w:pPr>
              <w:rPr>
                <w:rFonts w:ascii="Arial" w:hAnsi="Arial" w:cs="Arial"/>
                <w:b/>
                <w:sz w:val="20"/>
                <w:szCs w:val="20"/>
              </w:rPr>
            </w:pPr>
            <w:r w:rsidRPr="00FE4923">
              <w:rPr>
                <w:rFonts w:ascii="Arial" w:hAnsi="Arial" w:cs="Arial"/>
                <w:sz w:val="20"/>
                <w:szCs w:val="20"/>
              </w:rPr>
              <w:t>D 70</w:t>
            </w:r>
          </w:p>
        </w:tc>
        <w:tc>
          <w:tcPr>
            <w:tcW w:w="1006" w:type="dxa"/>
            <w:tcBorders>
              <w:top w:val="single" w:sz="4" w:space="0" w:color="auto"/>
              <w:left w:val="single" w:sz="4" w:space="0" w:color="auto"/>
              <w:bottom w:val="single" w:sz="4" w:space="0" w:color="auto"/>
              <w:right w:val="single" w:sz="4" w:space="0" w:color="auto"/>
            </w:tcBorders>
          </w:tcPr>
          <w:p w:rsidR="00914890" w:rsidRPr="00FE4923" w:rsidRDefault="00914890" w:rsidP="003C118F">
            <w:pPr>
              <w:rPr>
                <w:rFonts w:ascii="Arial" w:hAnsi="Arial" w:cs="Arial"/>
                <w:b/>
                <w:sz w:val="20"/>
                <w:szCs w:val="20"/>
              </w:rPr>
            </w:pPr>
          </w:p>
          <w:p w:rsidR="00914890" w:rsidRPr="00FE4923" w:rsidRDefault="00914890" w:rsidP="003C118F">
            <w:pPr>
              <w:rPr>
                <w:rFonts w:ascii="Arial" w:hAnsi="Arial" w:cs="Arial"/>
                <w:b/>
                <w:sz w:val="20"/>
                <w:szCs w:val="20"/>
              </w:rPr>
            </w:pPr>
          </w:p>
          <w:p w:rsidR="00914890" w:rsidRPr="00FE4923" w:rsidRDefault="00914890" w:rsidP="003C118F">
            <w:pPr>
              <w:rPr>
                <w:rFonts w:ascii="Arial" w:hAnsi="Arial" w:cs="Arial"/>
                <w:b/>
                <w:sz w:val="20"/>
                <w:szCs w:val="20"/>
              </w:rPr>
            </w:pPr>
          </w:p>
          <w:p w:rsidR="00914890" w:rsidRPr="00FE4923" w:rsidRDefault="00914890" w:rsidP="003C118F">
            <w:pPr>
              <w:rPr>
                <w:rFonts w:ascii="Arial" w:hAnsi="Arial" w:cs="Arial"/>
                <w:b/>
                <w:sz w:val="20"/>
                <w:szCs w:val="20"/>
              </w:rPr>
            </w:pPr>
          </w:p>
          <w:p w:rsidR="00914890" w:rsidRPr="00FE4923" w:rsidRDefault="00914890" w:rsidP="003C118F">
            <w:pPr>
              <w:rPr>
                <w:rFonts w:ascii="Arial" w:hAnsi="Arial" w:cs="Arial"/>
                <w:sz w:val="20"/>
                <w:szCs w:val="20"/>
              </w:rPr>
            </w:pPr>
            <w:r w:rsidRPr="00FE4923">
              <w:rPr>
                <w:rFonts w:ascii="Arial" w:hAnsi="Arial" w:cs="Arial"/>
                <w:sz w:val="20"/>
                <w:szCs w:val="20"/>
              </w:rPr>
              <w:t>A 760</w:t>
            </w:r>
          </w:p>
          <w:p w:rsidR="00914890" w:rsidRPr="00FE4923" w:rsidRDefault="00914890" w:rsidP="003C118F">
            <w:pPr>
              <w:rPr>
                <w:rFonts w:ascii="Arial" w:hAnsi="Arial" w:cs="Arial"/>
                <w:sz w:val="20"/>
                <w:szCs w:val="20"/>
              </w:rPr>
            </w:pPr>
            <w:r w:rsidRPr="00FE4923">
              <w:rPr>
                <w:rFonts w:ascii="Arial" w:hAnsi="Arial" w:cs="Arial"/>
                <w:sz w:val="20"/>
                <w:szCs w:val="20"/>
              </w:rPr>
              <w:t xml:space="preserve">B </w:t>
            </w:r>
            <w:r>
              <w:rPr>
                <w:rFonts w:ascii="Arial" w:hAnsi="Arial" w:cs="Arial"/>
                <w:sz w:val="20"/>
                <w:szCs w:val="20"/>
              </w:rPr>
              <w:t>161</w:t>
            </w:r>
          </w:p>
          <w:p w:rsidR="00914890" w:rsidRPr="00FE4923" w:rsidRDefault="00914890" w:rsidP="003C118F">
            <w:pPr>
              <w:rPr>
                <w:rFonts w:ascii="Arial" w:hAnsi="Arial" w:cs="Arial"/>
                <w:sz w:val="20"/>
                <w:szCs w:val="20"/>
              </w:rPr>
            </w:pPr>
            <w:r w:rsidRPr="00FE4923">
              <w:rPr>
                <w:rFonts w:ascii="Arial" w:hAnsi="Arial" w:cs="Arial"/>
                <w:sz w:val="20"/>
                <w:szCs w:val="20"/>
              </w:rPr>
              <w:t>C 262</w:t>
            </w:r>
          </w:p>
          <w:p w:rsidR="00914890" w:rsidRPr="00FE4923" w:rsidRDefault="00914890" w:rsidP="003C118F">
            <w:pPr>
              <w:rPr>
                <w:rFonts w:ascii="Arial" w:hAnsi="Arial" w:cs="Arial"/>
                <w:b/>
                <w:sz w:val="20"/>
                <w:szCs w:val="20"/>
              </w:rPr>
            </w:pPr>
            <w:r w:rsidRPr="00FE4923">
              <w:rPr>
                <w:rFonts w:ascii="Arial" w:hAnsi="Arial" w:cs="Arial"/>
                <w:sz w:val="20"/>
                <w:szCs w:val="20"/>
              </w:rPr>
              <w:t>D 105</w:t>
            </w:r>
          </w:p>
          <w:p w:rsidR="00914890" w:rsidRPr="00FE4923" w:rsidRDefault="00914890" w:rsidP="003C118F">
            <w:pPr>
              <w:rPr>
                <w:rFonts w:ascii="Arial" w:hAnsi="Arial" w:cs="Arial"/>
                <w:b/>
                <w:sz w:val="20"/>
                <w:szCs w:val="20"/>
              </w:rPr>
            </w:pPr>
          </w:p>
          <w:p w:rsidR="00914890" w:rsidRPr="00FE4923" w:rsidRDefault="00914890" w:rsidP="003C118F">
            <w:pPr>
              <w:rPr>
                <w:rFonts w:ascii="Arial" w:hAnsi="Arial" w:cs="Arial"/>
                <w:b/>
                <w:sz w:val="20"/>
                <w:szCs w:val="20"/>
              </w:rPr>
            </w:pPr>
          </w:p>
        </w:tc>
      </w:tr>
    </w:tbl>
    <w:p w:rsidR="00914890" w:rsidRDefault="00914890" w:rsidP="003C118F">
      <w:pPr>
        <w:spacing w:after="0" w:line="240" w:lineRule="auto"/>
        <w:rPr>
          <w:rFonts w:ascii="Arial" w:hAnsi="Arial" w:cs="Arial"/>
        </w:rPr>
      </w:pPr>
    </w:p>
    <w:p w:rsidR="00914890" w:rsidRDefault="00914890" w:rsidP="003C118F">
      <w:pPr>
        <w:spacing w:after="0" w:line="240" w:lineRule="auto"/>
        <w:rPr>
          <w:rFonts w:ascii="Arial" w:hAnsi="Arial" w:cs="Arial"/>
          <w:sz w:val="24"/>
          <w:szCs w:val="24"/>
        </w:rPr>
      </w:pPr>
      <w:r w:rsidRPr="005A4DB8">
        <w:rPr>
          <w:rFonts w:ascii="Arial" w:hAnsi="Arial" w:cs="Arial"/>
          <w:sz w:val="24"/>
          <w:szCs w:val="24"/>
        </w:rPr>
        <w:t xml:space="preserve">Details of supporting activities and a range of case studies are presented in the accompanying </w:t>
      </w:r>
      <w:r>
        <w:rPr>
          <w:rFonts w:ascii="Arial" w:hAnsi="Arial" w:cs="Arial"/>
          <w:sz w:val="24"/>
          <w:szCs w:val="24"/>
        </w:rPr>
        <w:t>Skil</w:t>
      </w:r>
      <w:r w:rsidR="003C118F">
        <w:rPr>
          <w:rFonts w:ascii="Arial" w:hAnsi="Arial" w:cs="Arial"/>
          <w:sz w:val="24"/>
          <w:szCs w:val="24"/>
        </w:rPr>
        <w:t>ls and Employment dashboard at A</w:t>
      </w:r>
      <w:r>
        <w:rPr>
          <w:rFonts w:ascii="Arial" w:hAnsi="Arial" w:cs="Arial"/>
          <w:sz w:val="24"/>
          <w:szCs w:val="24"/>
        </w:rPr>
        <w:t>ppendix 4.</w:t>
      </w:r>
    </w:p>
    <w:p w:rsidR="003C118F" w:rsidRPr="005A4DB8" w:rsidRDefault="003C118F" w:rsidP="003C118F">
      <w:pPr>
        <w:spacing w:after="0" w:line="240" w:lineRule="auto"/>
        <w:rPr>
          <w:sz w:val="24"/>
          <w:szCs w:val="24"/>
        </w:rPr>
      </w:pPr>
    </w:p>
    <w:p w:rsidR="00914890" w:rsidRDefault="00914890" w:rsidP="003C118F">
      <w:pPr>
        <w:spacing w:after="0" w:line="240" w:lineRule="auto"/>
        <w:rPr>
          <w:rFonts w:ascii="Arial" w:hAnsi="Arial" w:cs="Arial"/>
          <w:b/>
          <w:sz w:val="24"/>
          <w:szCs w:val="24"/>
        </w:rPr>
      </w:pPr>
      <w:r>
        <w:rPr>
          <w:rFonts w:ascii="Arial" w:hAnsi="Arial" w:cs="Arial"/>
          <w:b/>
          <w:sz w:val="24"/>
          <w:szCs w:val="24"/>
        </w:rPr>
        <w:t xml:space="preserve">Table 6: Business support and associated jobs </w:t>
      </w:r>
    </w:p>
    <w:tbl>
      <w:tblPr>
        <w:tblStyle w:val="TableGrid"/>
        <w:tblW w:w="9782" w:type="dxa"/>
        <w:tblInd w:w="-289" w:type="dxa"/>
        <w:tblLook w:val="04A0" w:firstRow="1" w:lastRow="0" w:firstColumn="1" w:lastColumn="0" w:noHBand="0" w:noVBand="1"/>
      </w:tblPr>
      <w:tblGrid>
        <w:gridCol w:w="7819"/>
        <w:gridCol w:w="1963"/>
      </w:tblGrid>
      <w:tr w:rsidR="00914890" w:rsidRPr="00240F9B" w:rsidTr="00914890">
        <w:tc>
          <w:tcPr>
            <w:tcW w:w="7819" w:type="dxa"/>
            <w:tcBorders>
              <w:top w:val="single" w:sz="4" w:space="0" w:color="auto"/>
              <w:left w:val="single" w:sz="4" w:space="0" w:color="auto"/>
              <w:bottom w:val="single" w:sz="4" w:space="0" w:color="auto"/>
              <w:right w:val="single" w:sz="4" w:space="0" w:color="auto"/>
            </w:tcBorders>
            <w:hideMark/>
          </w:tcPr>
          <w:p w:rsidR="00914890" w:rsidRPr="00240F9B" w:rsidRDefault="00914890" w:rsidP="003C118F">
            <w:pPr>
              <w:rPr>
                <w:rFonts w:ascii="Arial" w:hAnsi="Arial" w:cs="Arial"/>
                <w:b/>
                <w:sz w:val="24"/>
                <w:szCs w:val="24"/>
              </w:rPr>
            </w:pPr>
            <w:r w:rsidRPr="00240F9B">
              <w:rPr>
                <w:rFonts w:ascii="Arial" w:hAnsi="Arial" w:cs="Arial"/>
                <w:b/>
                <w:sz w:val="24"/>
                <w:szCs w:val="24"/>
              </w:rPr>
              <w:t>Output</w:t>
            </w:r>
          </w:p>
        </w:tc>
        <w:tc>
          <w:tcPr>
            <w:tcW w:w="1963" w:type="dxa"/>
            <w:tcBorders>
              <w:top w:val="single" w:sz="4" w:space="0" w:color="auto"/>
              <w:left w:val="single" w:sz="4" w:space="0" w:color="auto"/>
              <w:bottom w:val="single" w:sz="4" w:space="0" w:color="auto"/>
              <w:right w:val="single" w:sz="4" w:space="0" w:color="auto"/>
            </w:tcBorders>
            <w:hideMark/>
          </w:tcPr>
          <w:p w:rsidR="00914890" w:rsidRPr="00240F9B" w:rsidRDefault="00914890" w:rsidP="003C118F">
            <w:pPr>
              <w:rPr>
                <w:rFonts w:ascii="Arial" w:hAnsi="Arial" w:cs="Arial"/>
                <w:b/>
                <w:sz w:val="24"/>
                <w:szCs w:val="24"/>
              </w:rPr>
            </w:pPr>
            <w:r w:rsidRPr="00240F9B">
              <w:rPr>
                <w:rFonts w:ascii="Arial" w:hAnsi="Arial" w:cs="Arial"/>
                <w:b/>
                <w:sz w:val="24"/>
                <w:szCs w:val="24"/>
              </w:rPr>
              <w:t>2016/17</w:t>
            </w:r>
          </w:p>
        </w:tc>
      </w:tr>
      <w:tr w:rsidR="00914890" w:rsidRPr="00CA3A97" w:rsidTr="00914890">
        <w:tc>
          <w:tcPr>
            <w:tcW w:w="7819" w:type="dxa"/>
            <w:tcBorders>
              <w:top w:val="single" w:sz="4" w:space="0" w:color="auto"/>
              <w:left w:val="single" w:sz="4" w:space="0" w:color="auto"/>
              <w:bottom w:val="single" w:sz="4" w:space="0" w:color="auto"/>
              <w:right w:val="single" w:sz="4" w:space="0" w:color="auto"/>
            </w:tcBorders>
          </w:tcPr>
          <w:p w:rsidR="00914890" w:rsidRPr="00383691" w:rsidRDefault="00914890" w:rsidP="003C118F">
            <w:pPr>
              <w:rPr>
                <w:rFonts w:ascii="Arial" w:hAnsi="Arial" w:cs="Arial"/>
                <w:sz w:val="24"/>
                <w:szCs w:val="24"/>
              </w:rPr>
            </w:pPr>
            <w:r w:rsidRPr="00383691">
              <w:rPr>
                <w:rFonts w:ascii="Arial" w:hAnsi="Arial" w:cs="Arial"/>
                <w:sz w:val="24"/>
                <w:szCs w:val="24"/>
              </w:rPr>
              <w:t>New businesses supported through BOOST</w:t>
            </w:r>
          </w:p>
          <w:p w:rsidR="00914890" w:rsidRPr="00383691" w:rsidRDefault="00914890" w:rsidP="003C118F">
            <w:pPr>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hideMark/>
          </w:tcPr>
          <w:p w:rsidR="00914890" w:rsidRPr="00383691" w:rsidRDefault="00914890" w:rsidP="003C118F">
            <w:pPr>
              <w:rPr>
                <w:rFonts w:ascii="Arial" w:hAnsi="Arial" w:cs="Arial"/>
                <w:sz w:val="24"/>
                <w:szCs w:val="24"/>
              </w:rPr>
            </w:pPr>
            <w:r>
              <w:rPr>
                <w:rFonts w:ascii="Arial" w:hAnsi="Arial" w:cs="Arial"/>
                <w:sz w:val="24"/>
                <w:szCs w:val="24"/>
              </w:rPr>
              <w:t>95</w:t>
            </w:r>
          </w:p>
        </w:tc>
      </w:tr>
      <w:tr w:rsidR="00914890" w:rsidRPr="00CA3A97" w:rsidTr="00914890">
        <w:tc>
          <w:tcPr>
            <w:tcW w:w="7819" w:type="dxa"/>
            <w:tcBorders>
              <w:top w:val="single" w:sz="4" w:space="0" w:color="auto"/>
              <w:left w:val="single" w:sz="4" w:space="0" w:color="auto"/>
              <w:bottom w:val="single" w:sz="4" w:space="0" w:color="auto"/>
              <w:right w:val="single" w:sz="4" w:space="0" w:color="auto"/>
            </w:tcBorders>
          </w:tcPr>
          <w:p w:rsidR="00914890" w:rsidRPr="00383691" w:rsidRDefault="00914890" w:rsidP="003C118F">
            <w:pPr>
              <w:rPr>
                <w:rFonts w:ascii="Arial" w:hAnsi="Arial" w:cs="Arial"/>
                <w:sz w:val="24"/>
                <w:szCs w:val="24"/>
              </w:rPr>
            </w:pPr>
            <w:r w:rsidRPr="00383691">
              <w:rPr>
                <w:rFonts w:ascii="Arial" w:hAnsi="Arial" w:cs="Arial"/>
                <w:sz w:val="24"/>
                <w:szCs w:val="24"/>
              </w:rPr>
              <w:t xml:space="preserve">Jobs created through BOOST business support </w:t>
            </w:r>
          </w:p>
          <w:p w:rsidR="00914890" w:rsidRPr="00383691" w:rsidRDefault="00914890" w:rsidP="003C118F">
            <w:pPr>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hideMark/>
          </w:tcPr>
          <w:p w:rsidR="00914890" w:rsidRPr="00383691" w:rsidRDefault="00914890" w:rsidP="003C118F">
            <w:pPr>
              <w:rPr>
                <w:rFonts w:ascii="Arial" w:hAnsi="Arial" w:cs="Arial"/>
                <w:sz w:val="24"/>
                <w:szCs w:val="24"/>
              </w:rPr>
            </w:pPr>
            <w:r w:rsidRPr="00383691">
              <w:rPr>
                <w:rFonts w:ascii="Arial" w:hAnsi="Arial" w:cs="Arial"/>
                <w:sz w:val="24"/>
                <w:szCs w:val="24"/>
              </w:rPr>
              <w:t>95</w:t>
            </w:r>
          </w:p>
        </w:tc>
      </w:tr>
    </w:tbl>
    <w:p w:rsidR="00914890" w:rsidRDefault="00914890" w:rsidP="003C118F">
      <w:pPr>
        <w:spacing w:after="0" w:line="240" w:lineRule="auto"/>
        <w:rPr>
          <w:rFonts w:ascii="Arial" w:hAnsi="Arial" w:cs="Arial"/>
          <w:sz w:val="20"/>
          <w:szCs w:val="20"/>
        </w:rPr>
      </w:pPr>
      <w:r w:rsidRPr="005F48CC">
        <w:rPr>
          <w:rFonts w:ascii="Arial" w:hAnsi="Arial" w:cs="Arial"/>
          <w:sz w:val="20"/>
          <w:szCs w:val="20"/>
        </w:rPr>
        <w:t>Source: BOOST</w:t>
      </w:r>
    </w:p>
    <w:p w:rsidR="003C118F" w:rsidRPr="005F48CC" w:rsidRDefault="003C118F" w:rsidP="003C118F">
      <w:pPr>
        <w:spacing w:after="0" w:line="240" w:lineRule="auto"/>
        <w:rPr>
          <w:sz w:val="20"/>
          <w:szCs w:val="20"/>
        </w:rPr>
      </w:pPr>
    </w:p>
    <w:p w:rsidR="003C118F" w:rsidRDefault="003C118F" w:rsidP="003C118F">
      <w:pPr>
        <w:spacing w:after="0" w:line="240" w:lineRule="auto"/>
        <w:ind w:left="284" w:hanging="426"/>
        <w:rPr>
          <w:rFonts w:ascii="Arial" w:hAnsi="Arial" w:cs="Arial"/>
          <w:b/>
          <w:sz w:val="24"/>
          <w:szCs w:val="24"/>
        </w:rPr>
      </w:pPr>
      <w:r>
        <w:rPr>
          <w:rFonts w:ascii="Arial" w:hAnsi="Arial" w:cs="Arial"/>
          <w:b/>
          <w:sz w:val="24"/>
          <w:szCs w:val="24"/>
        </w:rPr>
        <w:t>Private Sector Investment</w:t>
      </w:r>
    </w:p>
    <w:p w:rsidR="003C118F" w:rsidRDefault="003C118F" w:rsidP="003C118F">
      <w:pPr>
        <w:spacing w:after="0" w:line="240" w:lineRule="auto"/>
        <w:ind w:left="-142"/>
        <w:rPr>
          <w:rFonts w:ascii="Arial" w:hAnsi="Arial" w:cs="Arial"/>
          <w:b/>
          <w:sz w:val="24"/>
          <w:szCs w:val="24"/>
        </w:rPr>
      </w:pPr>
    </w:p>
    <w:p w:rsidR="00914890" w:rsidRDefault="00914890" w:rsidP="003C118F">
      <w:pPr>
        <w:spacing w:after="0" w:line="240" w:lineRule="auto"/>
        <w:ind w:left="-142"/>
        <w:rPr>
          <w:rFonts w:ascii="Arial" w:hAnsi="Arial" w:cs="Arial"/>
          <w:sz w:val="24"/>
          <w:szCs w:val="24"/>
        </w:rPr>
      </w:pPr>
      <w:r w:rsidRPr="00910D6F">
        <w:rPr>
          <w:rFonts w:ascii="Arial" w:hAnsi="Arial" w:cs="Arial"/>
          <w:sz w:val="24"/>
          <w:szCs w:val="24"/>
        </w:rPr>
        <w:t>In 2017/18 Q1 and Q2 a combined total of £6.99</w:t>
      </w:r>
      <w:r>
        <w:rPr>
          <w:rFonts w:ascii="Arial" w:hAnsi="Arial" w:cs="Arial"/>
          <w:sz w:val="24"/>
          <w:szCs w:val="24"/>
        </w:rPr>
        <w:t>m</w:t>
      </w:r>
      <w:r w:rsidRPr="00910D6F">
        <w:rPr>
          <w:rFonts w:ascii="Arial" w:hAnsi="Arial" w:cs="Arial"/>
          <w:sz w:val="24"/>
          <w:szCs w:val="24"/>
        </w:rPr>
        <w:t xml:space="preserve"> of public and private sector investment has been secured </w:t>
      </w:r>
      <w:r>
        <w:rPr>
          <w:rFonts w:ascii="Arial" w:hAnsi="Arial" w:cs="Arial"/>
          <w:sz w:val="24"/>
          <w:szCs w:val="24"/>
        </w:rPr>
        <w:t>for</w:t>
      </w:r>
      <w:r w:rsidRPr="00910D6F">
        <w:rPr>
          <w:rFonts w:ascii="Arial" w:hAnsi="Arial" w:cs="Arial"/>
          <w:sz w:val="24"/>
          <w:szCs w:val="24"/>
        </w:rPr>
        <w:t xml:space="preserve"> infrastructure</w:t>
      </w:r>
      <w:r>
        <w:rPr>
          <w:rFonts w:ascii="Arial" w:hAnsi="Arial" w:cs="Arial"/>
          <w:sz w:val="24"/>
          <w:szCs w:val="24"/>
        </w:rPr>
        <w:t xml:space="preserve"> projects</w:t>
      </w:r>
      <w:r w:rsidRPr="00910D6F">
        <w:rPr>
          <w:rFonts w:ascii="Arial" w:hAnsi="Arial" w:cs="Arial"/>
          <w:sz w:val="24"/>
          <w:szCs w:val="24"/>
        </w:rPr>
        <w:t>.  Whilst the six month actual is much lower than the trajectory this is due to timings for receipt of payments.  For example s106's, HCA payments etc. are affected by payment conditions that are difficult to predict part year.</w:t>
      </w:r>
    </w:p>
    <w:p w:rsidR="003C118F" w:rsidRPr="003C118F" w:rsidRDefault="003C118F" w:rsidP="003C118F">
      <w:pPr>
        <w:spacing w:after="0" w:line="240" w:lineRule="auto"/>
        <w:ind w:left="-142"/>
        <w:rPr>
          <w:rFonts w:ascii="Arial" w:hAnsi="Arial" w:cs="Arial"/>
          <w:b/>
          <w:sz w:val="24"/>
          <w:szCs w:val="24"/>
        </w:rPr>
      </w:pPr>
    </w:p>
    <w:p w:rsidR="00914890" w:rsidRPr="00910D6F" w:rsidRDefault="00914890" w:rsidP="003C118F">
      <w:pPr>
        <w:spacing w:after="0" w:line="240" w:lineRule="auto"/>
        <w:rPr>
          <w:rFonts w:ascii="Arial" w:hAnsi="Arial" w:cs="Arial"/>
          <w:b/>
          <w:sz w:val="24"/>
          <w:szCs w:val="24"/>
        </w:rPr>
      </w:pPr>
      <w:r w:rsidRPr="00910D6F">
        <w:rPr>
          <w:rFonts w:ascii="Arial" w:hAnsi="Arial" w:cs="Arial"/>
          <w:b/>
          <w:sz w:val="24"/>
          <w:szCs w:val="24"/>
        </w:rPr>
        <w:t>Table 7:  Public and private sector investment – core outputs</w:t>
      </w:r>
    </w:p>
    <w:tbl>
      <w:tblPr>
        <w:tblStyle w:val="TableGrid1"/>
        <w:tblW w:w="4871" w:type="pct"/>
        <w:tblLayout w:type="fixed"/>
        <w:tblLook w:val="04A0" w:firstRow="1" w:lastRow="0" w:firstColumn="1" w:lastColumn="0" w:noHBand="0" w:noVBand="1"/>
      </w:tblPr>
      <w:tblGrid>
        <w:gridCol w:w="2655"/>
        <w:gridCol w:w="2727"/>
        <w:gridCol w:w="3401"/>
      </w:tblGrid>
      <w:tr w:rsidR="00914890" w:rsidRPr="00910D6F" w:rsidTr="00914890">
        <w:tc>
          <w:tcPr>
            <w:tcW w:w="2655" w:type="dxa"/>
          </w:tcPr>
          <w:p w:rsidR="00914890" w:rsidRPr="00910D6F" w:rsidRDefault="00914890" w:rsidP="003C118F">
            <w:pPr>
              <w:rPr>
                <w:rFonts w:ascii="Arial" w:hAnsi="Arial" w:cs="Arial"/>
                <w:b/>
                <w:sz w:val="24"/>
                <w:szCs w:val="24"/>
              </w:rPr>
            </w:pPr>
            <w:r w:rsidRPr="00910D6F">
              <w:rPr>
                <w:rFonts w:ascii="Arial" w:hAnsi="Arial" w:cs="Arial"/>
                <w:b/>
                <w:sz w:val="24"/>
                <w:szCs w:val="24"/>
              </w:rPr>
              <w:t>Core outputs</w:t>
            </w:r>
          </w:p>
        </w:tc>
        <w:tc>
          <w:tcPr>
            <w:tcW w:w="2727" w:type="dxa"/>
          </w:tcPr>
          <w:p w:rsidR="00914890" w:rsidRPr="00910D6F" w:rsidRDefault="00914890" w:rsidP="003C118F">
            <w:pPr>
              <w:jc w:val="center"/>
              <w:rPr>
                <w:rFonts w:ascii="Arial" w:hAnsi="Arial" w:cs="Arial"/>
                <w:b/>
                <w:sz w:val="24"/>
                <w:szCs w:val="24"/>
              </w:rPr>
            </w:pPr>
            <w:r w:rsidRPr="00910D6F">
              <w:rPr>
                <w:rFonts w:ascii="Arial" w:hAnsi="Arial" w:cs="Arial"/>
                <w:b/>
                <w:sz w:val="24"/>
                <w:szCs w:val="24"/>
              </w:rPr>
              <w:t>17/18 Trajectory</w:t>
            </w:r>
          </w:p>
        </w:tc>
        <w:tc>
          <w:tcPr>
            <w:tcW w:w="3401" w:type="dxa"/>
          </w:tcPr>
          <w:p w:rsidR="00914890" w:rsidRPr="00910D6F" w:rsidRDefault="00914890" w:rsidP="003C118F">
            <w:pPr>
              <w:jc w:val="center"/>
              <w:rPr>
                <w:rFonts w:ascii="Arial" w:hAnsi="Arial" w:cs="Arial"/>
                <w:b/>
                <w:sz w:val="24"/>
                <w:szCs w:val="24"/>
              </w:rPr>
            </w:pPr>
            <w:r w:rsidRPr="00910D6F">
              <w:rPr>
                <w:rFonts w:ascii="Arial" w:hAnsi="Arial" w:cs="Arial"/>
                <w:b/>
                <w:sz w:val="24"/>
                <w:szCs w:val="24"/>
              </w:rPr>
              <w:t>17/18 Actual (six months)</w:t>
            </w:r>
          </w:p>
        </w:tc>
      </w:tr>
      <w:tr w:rsidR="00914890" w:rsidRPr="00910D6F" w:rsidTr="00914890">
        <w:tc>
          <w:tcPr>
            <w:tcW w:w="2655" w:type="dxa"/>
          </w:tcPr>
          <w:p w:rsidR="00914890" w:rsidRPr="00910D6F" w:rsidRDefault="00914890" w:rsidP="003C118F">
            <w:pPr>
              <w:rPr>
                <w:rFonts w:ascii="Arial" w:hAnsi="Arial" w:cs="Arial"/>
                <w:sz w:val="24"/>
                <w:szCs w:val="24"/>
              </w:rPr>
            </w:pPr>
            <w:r w:rsidRPr="00910D6F">
              <w:rPr>
                <w:rFonts w:ascii="Arial" w:hAnsi="Arial" w:cs="Arial"/>
                <w:sz w:val="24"/>
                <w:szCs w:val="24"/>
              </w:rPr>
              <w:t xml:space="preserve">Public Sector Investment </w:t>
            </w:r>
          </w:p>
          <w:p w:rsidR="00914890" w:rsidRPr="00910D6F" w:rsidRDefault="00914890" w:rsidP="003C118F">
            <w:pPr>
              <w:rPr>
                <w:rFonts w:ascii="Arial" w:hAnsi="Arial" w:cs="Arial"/>
                <w:sz w:val="24"/>
                <w:szCs w:val="24"/>
              </w:rPr>
            </w:pPr>
            <w:r w:rsidRPr="00910D6F">
              <w:rPr>
                <w:rFonts w:ascii="Arial" w:hAnsi="Arial" w:cs="Arial"/>
                <w:sz w:val="24"/>
                <w:szCs w:val="24"/>
              </w:rPr>
              <w:t>(to support Infrastructure programme)</w:t>
            </w:r>
          </w:p>
        </w:tc>
        <w:tc>
          <w:tcPr>
            <w:tcW w:w="2727" w:type="dxa"/>
          </w:tcPr>
          <w:p w:rsidR="00914890" w:rsidRPr="00910D6F" w:rsidRDefault="00914890" w:rsidP="003C118F">
            <w:pPr>
              <w:jc w:val="center"/>
              <w:rPr>
                <w:rFonts w:ascii="Arial" w:hAnsi="Arial" w:cs="Arial"/>
                <w:sz w:val="24"/>
                <w:szCs w:val="24"/>
              </w:rPr>
            </w:pPr>
            <w:r w:rsidRPr="00910D6F">
              <w:rPr>
                <w:rFonts w:ascii="Arial" w:hAnsi="Arial" w:cs="Arial"/>
                <w:sz w:val="24"/>
                <w:szCs w:val="24"/>
              </w:rPr>
              <w:t>£17.883</w:t>
            </w:r>
            <w:r>
              <w:rPr>
                <w:rFonts w:ascii="Arial" w:hAnsi="Arial" w:cs="Arial"/>
                <w:sz w:val="24"/>
                <w:szCs w:val="24"/>
              </w:rPr>
              <w:t>m</w:t>
            </w:r>
          </w:p>
        </w:tc>
        <w:tc>
          <w:tcPr>
            <w:tcW w:w="3401" w:type="dxa"/>
          </w:tcPr>
          <w:p w:rsidR="00914890" w:rsidRPr="00910D6F" w:rsidRDefault="00914890" w:rsidP="003C118F">
            <w:pPr>
              <w:jc w:val="center"/>
              <w:rPr>
                <w:rFonts w:ascii="Arial" w:hAnsi="Arial" w:cs="Arial"/>
                <w:sz w:val="24"/>
                <w:szCs w:val="24"/>
              </w:rPr>
            </w:pPr>
            <w:r w:rsidRPr="00910D6F">
              <w:rPr>
                <w:rFonts w:ascii="Arial" w:hAnsi="Arial" w:cs="Arial"/>
                <w:sz w:val="24"/>
                <w:szCs w:val="24"/>
              </w:rPr>
              <w:t>£</w:t>
            </w:r>
            <w:r w:rsidRPr="00910D6F">
              <w:t xml:space="preserve"> </w:t>
            </w:r>
            <w:r w:rsidRPr="00910D6F">
              <w:rPr>
                <w:rFonts w:ascii="Arial" w:hAnsi="Arial" w:cs="Arial"/>
                <w:sz w:val="24"/>
                <w:szCs w:val="24"/>
              </w:rPr>
              <w:t>2.590m</w:t>
            </w:r>
          </w:p>
        </w:tc>
      </w:tr>
      <w:tr w:rsidR="00914890" w:rsidRPr="00910D6F" w:rsidTr="00914890">
        <w:tc>
          <w:tcPr>
            <w:tcW w:w="2655" w:type="dxa"/>
          </w:tcPr>
          <w:p w:rsidR="00914890" w:rsidRPr="00910D6F" w:rsidRDefault="00914890" w:rsidP="003C118F">
            <w:pPr>
              <w:rPr>
                <w:rFonts w:ascii="Arial" w:hAnsi="Arial" w:cs="Arial"/>
                <w:sz w:val="24"/>
                <w:szCs w:val="24"/>
              </w:rPr>
            </w:pPr>
            <w:r w:rsidRPr="00910D6F">
              <w:rPr>
                <w:rFonts w:ascii="Arial" w:hAnsi="Arial" w:cs="Arial"/>
                <w:sz w:val="24"/>
                <w:szCs w:val="24"/>
              </w:rPr>
              <w:t xml:space="preserve">Private Sector Investment  </w:t>
            </w:r>
          </w:p>
          <w:p w:rsidR="00914890" w:rsidRPr="00910D6F" w:rsidRDefault="00914890" w:rsidP="003C118F">
            <w:pPr>
              <w:rPr>
                <w:rFonts w:ascii="Arial" w:hAnsi="Arial" w:cs="Arial"/>
                <w:sz w:val="24"/>
                <w:szCs w:val="24"/>
              </w:rPr>
            </w:pPr>
            <w:r w:rsidRPr="00910D6F">
              <w:rPr>
                <w:rFonts w:ascii="Arial" w:hAnsi="Arial" w:cs="Arial"/>
                <w:sz w:val="24"/>
                <w:szCs w:val="24"/>
              </w:rPr>
              <w:t xml:space="preserve">(to support infrastructure programme) </w:t>
            </w:r>
          </w:p>
        </w:tc>
        <w:tc>
          <w:tcPr>
            <w:tcW w:w="2727" w:type="dxa"/>
          </w:tcPr>
          <w:p w:rsidR="00914890" w:rsidRPr="00910D6F" w:rsidRDefault="00914890" w:rsidP="003C118F">
            <w:pPr>
              <w:jc w:val="center"/>
              <w:rPr>
                <w:rFonts w:ascii="Arial" w:hAnsi="Arial" w:cs="Arial"/>
                <w:sz w:val="24"/>
                <w:szCs w:val="24"/>
              </w:rPr>
            </w:pPr>
            <w:r w:rsidRPr="00910D6F">
              <w:rPr>
                <w:rFonts w:ascii="Arial" w:hAnsi="Arial" w:cs="Arial"/>
                <w:sz w:val="24"/>
                <w:szCs w:val="24"/>
              </w:rPr>
              <w:t>£6.698</w:t>
            </w:r>
            <w:r>
              <w:rPr>
                <w:rFonts w:ascii="Arial" w:hAnsi="Arial" w:cs="Arial"/>
                <w:sz w:val="24"/>
                <w:szCs w:val="24"/>
              </w:rPr>
              <w:t>m</w:t>
            </w:r>
          </w:p>
          <w:p w:rsidR="00914890" w:rsidRPr="00910D6F" w:rsidRDefault="00914890" w:rsidP="003C118F">
            <w:pPr>
              <w:jc w:val="center"/>
              <w:rPr>
                <w:rFonts w:ascii="Arial" w:hAnsi="Arial" w:cs="Arial"/>
                <w:sz w:val="24"/>
                <w:szCs w:val="24"/>
              </w:rPr>
            </w:pPr>
          </w:p>
          <w:p w:rsidR="00914890" w:rsidRPr="00910D6F" w:rsidRDefault="00914890" w:rsidP="003C118F">
            <w:pPr>
              <w:jc w:val="center"/>
              <w:rPr>
                <w:rFonts w:ascii="Arial" w:hAnsi="Arial" w:cs="Arial"/>
                <w:sz w:val="24"/>
                <w:szCs w:val="24"/>
              </w:rPr>
            </w:pPr>
          </w:p>
        </w:tc>
        <w:tc>
          <w:tcPr>
            <w:tcW w:w="3401" w:type="dxa"/>
          </w:tcPr>
          <w:p w:rsidR="00914890" w:rsidRPr="00910D6F" w:rsidRDefault="00914890" w:rsidP="003C118F">
            <w:pPr>
              <w:jc w:val="center"/>
              <w:rPr>
                <w:rFonts w:ascii="Arial" w:hAnsi="Arial" w:cs="Arial"/>
                <w:sz w:val="24"/>
                <w:szCs w:val="24"/>
              </w:rPr>
            </w:pPr>
            <w:r w:rsidRPr="00910D6F">
              <w:rPr>
                <w:rFonts w:ascii="Arial" w:hAnsi="Arial" w:cs="Arial"/>
                <w:sz w:val="24"/>
                <w:szCs w:val="24"/>
              </w:rPr>
              <w:t>£4.400m</w:t>
            </w:r>
          </w:p>
        </w:tc>
      </w:tr>
      <w:tr w:rsidR="00914890" w:rsidRPr="005C68CD" w:rsidTr="00914890">
        <w:tc>
          <w:tcPr>
            <w:tcW w:w="2655" w:type="dxa"/>
          </w:tcPr>
          <w:p w:rsidR="00914890" w:rsidRPr="005C68CD" w:rsidRDefault="00914890" w:rsidP="003C118F">
            <w:pPr>
              <w:rPr>
                <w:rFonts w:ascii="Arial" w:hAnsi="Arial" w:cs="Arial"/>
                <w:sz w:val="24"/>
                <w:szCs w:val="24"/>
              </w:rPr>
            </w:pPr>
            <w:r w:rsidRPr="005C68CD">
              <w:rPr>
                <w:rFonts w:ascii="Arial" w:hAnsi="Arial" w:cs="Arial"/>
              </w:rPr>
              <w:t>Pension Fund Investment</w:t>
            </w:r>
          </w:p>
        </w:tc>
        <w:tc>
          <w:tcPr>
            <w:tcW w:w="2727" w:type="dxa"/>
          </w:tcPr>
          <w:p w:rsidR="00914890" w:rsidRPr="005C68CD" w:rsidRDefault="00914890" w:rsidP="003C118F">
            <w:pPr>
              <w:jc w:val="center"/>
              <w:rPr>
                <w:rFonts w:ascii="Arial" w:hAnsi="Arial" w:cs="Arial"/>
                <w:sz w:val="24"/>
                <w:szCs w:val="24"/>
              </w:rPr>
            </w:pPr>
            <w:r w:rsidRPr="005C68CD">
              <w:rPr>
                <w:rFonts w:ascii="Arial" w:hAnsi="Arial" w:cs="Arial"/>
                <w:sz w:val="24"/>
                <w:szCs w:val="24"/>
              </w:rPr>
              <w:t>-</w:t>
            </w:r>
          </w:p>
        </w:tc>
        <w:tc>
          <w:tcPr>
            <w:tcW w:w="3401" w:type="dxa"/>
          </w:tcPr>
          <w:p w:rsidR="00914890" w:rsidRPr="005C68CD" w:rsidRDefault="00914890" w:rsidP="003C118F">
            <w:pPr>
              <w:jc w:val="center"/>
              <w:rPr>
                <w:rFonts w:ascii="Arial" w:hAnsi="Arial" w:cs="Arial"/>
                <w:sz w:val="24"/>
                <w:szCs w:val="24"/>
              </w:rPr>
            </w:pPr>
            <w:r w:rsidRPr="005C68CD">
              <w:rPr>
                <w:rFonts w:ascii="Arial" w:hAnsi="Arial" w:cs="Arial"/>
                <w:sz w:val="24"/>
                <w:szCs w:val="24"/>
              </w:rPr>
              <w:t>-</w:t>
            </w:r>
          </w:p>
        </w:tc>
      </w:tr>
    </w:tbl>
    <w:p w:rsidR="00914890" w:rsidRPr="005C68CD" w:rsidRDefault="00914890" w:rsidP="003C118F">
      <w:pPr>
        <w:spacing w:after="0" w:line="240" w:lineRule="auto"/>
        <w:rPr>
          <w:rFonts w:ascii="Arial" w:hAnsi="Arial" w:cs="Arial"/>
          <w:sz w:val="20"/>
          <w:szCs w:val="20"/>
        </w:rPr>
      </w:pPr>
      <w:r w:rsidRPr="005C68CD">
        <w:rPr>
          <w:rFonts w:ascii="Arial" w:hAnsi="Arial" w:cs="Arial"/>
          <w:sz w:val="20"/>
          <w:szCs w:val="20"/>
        </w:rPr>
        <w:t xml:space="preserve">*after Parish and District deductions from </w:t>
      </w:r>
      <w:proofErr w:type="spellStart"/>
      <w:r w:rsidRPr="005C68CD">
        <w:rPr>
          <w:rFonts w:ascii="Arial" w:hAnsi="Arial" w:cs="Arial"/>
          <w:sz w:val="20"/>
          <w:szCs w:val="20"/>
        </w:rPr>
        <w:t>Cil</w:t>
      </w:r>
      <w:proofErr w:type="spellEnd"/>
    </w:p>
    <w:p w:rsidR="00914890" w:rsidRPr="005C68CD" w:rsidRDefault="00914890" w:rsidP="003C118F">
      <w:pPr>
        <w:spacing w:after="0" w:line="240" w:lineRule="auto"/>
        <w:rPr>
          <w:rFonts w:ascii="Arial" w:hAnsi="Arial" w:cs="Arial"/>
          <w:sz w:val="20"/>
          <w:szCs w:val="20"/>
        </w:rPr>
      </w:pPr>
      <w:r w:rsidRPr="005C68CD">
        <w:rPr>
          <w:rFonts w:ascii="Arial" w:hAnsi="Arial" w:cs="Arial"/>
          <w:sz w:val="20"/>
          <w:szCs w:val="20"/>
        </w:rPr>
        <w:lastRenderedPageBreak/>
        <w:t>** refers to investment made, planned or under development</w:t>
      </w:r>
    </w:p>
    <w:p w:rsidR="003C118F" w:rsidRDefault="003C118F" w:rsidP="003C118F">
      <w:pPr>
        <w:spacing w:after="0" w:line="240" w:lineRule="auto"/>
        <w:rPr>
          <w:rFonts w:ascii="Arial" w:hAnsi="Arial" w:cs="Arial"/>
          <w:b/>
          <w:sz w:val="24"/>
          <w:szCs w:val="24"/>
        </w:rPr>
      </w:pPr>
    </w:p>
    <w:p w:rsidR="00914890" w:rsidRDefault="003C118F" w:rsidP="003C118F">
      <w:pPr>
        <w:spacing w:after="0" w:line="240" w:lineRule="auto"/>
        <w:rPr>
          <w:rFonts w:ascii="Arial" w:hAnsi="Arial" w:cs="Arial"/>
          <w:b/>
          <w:sz w:val="24"/>
          <w:szCs w:val="24"/>
        </w:rPr>
      </w:pPr>
      <w:r>
        <w:rPr>
          <w:rFonts w:ascii="Arial" w:hAnsi="Arial" w:cs="Arial"/>
          <w:b/>
          <w:sz w:val="24"/>
          <w:szCs w:val="24"/>
        </w:rPr>
        <w:t>I</w:t>
      </w:r>
      <w:r w:rsidR="00914890" w:rsidRPr="005C68CD">
        <w:rPr>
          <w:rFonts w:ascii="Arial" w:hAnsi="Arial" w:cs="Arial"/>
          <w:b/>
          <w:sz w:val="24"/>
          <w:szCs w:val="24"/>
        </w:rPr>
        <w:t>nfrastructure delivery</w:t>
      </w:r>
      <w:r w:rsidR="00914890">
        <w:rPr>
          <w:rFonts w:ascii="Arial" w:hAnsi="Arial" w:cs="Arial"/>
          <w:b/>
          <w:sz w:val="24"/>
          <w:szCs w:val="24"/>
        </w:rPr>
        <w:t xml:space="preserve"> – see appendix </w:t>
      </w:r>
      <w:r w:rsidR="002C2305">
        <w:rPr>
          <w:rFonts w:ascii="Arial" w:hAnsi="Arial" w:cs="Arial"/>
          <w:b/>
          <w:sz w:val="24"/>
          <w:szCs w:val="24"/>
        </w:rPr>
        <w:t>4</w:t>
      </w:r>
      <w:r w:rsidR="00914890" w:rsidRPr="005C68CD">
        <w:rPr>
          <w:rFonts w:ascii="Arial" w:hAnsi="Arial" w:cs="Arial"/>
          <w:b/>
          <w:sz w:val="24"/>
          <w:szCs w:val="24"/>
        </w:rPr>
        <w:t xml:space="preserve"> </w:t>
      </w:r>
    </w:p>
    <w:p w:rsidR="003C118F" w:rsidRPr="005C68CD" w:rsidRDefault="003C118F" w:rsidP="003C118F">
      <w:pPr>
        <w:spacing w:after="0" w:line="240" w:lineRule="auto"/>
        <w:rPr>
          <w:rFonts w:ascii="Arial" w:hAnsi="Arial" w:cs="Arial"/>
          <w:b/>
          <w:sz w:val="24"/>
          <w:szCs w:val="24"/>
        </w:rPr>
      </w:pPr>
    </w:p>
    <w:p w:rsidR="00914890" w:rsidRDefault="00914890" w:rsidP="003C118F">
      <w:pPr>
        <w:spacing w:after="0" w:line="240" w:lineRule="auto"/>
        <w:jc w:val="both"/>
        <w:rPr>
          <w:rFonts w:ascii="Arial" w:hAnsi="Arial" w:cs="Arial"/>
          <w:sz w:val="24"/>
          <w:szCs w:val="24"/>
        </w:rPr>
      </w:pPr>
      <w:r w:rsidRPr="005C68CD">
        <w:rPr>
          <w:rFonts w:ascii="Arial" w:hAnsi="Arial" w:cs="Arial"/>
          <w:sz w:val="24"/>
          <w:szCs w:val="24"/>
        </w:rPr>
        <w:t>The E&amp;SB will note that of the 48 infrastructure schemes included in the Plan for 2016/17, 28 are progressing as planned with no issues identified or else have no milestones in the current year.  A further 11 have been highlighted red/amber, either because they have not met the milestones in Q4 or will not meet the milestones going forward.  9 schemes are now complete.</w:t>
      </w:r>
    </w:p>
    <w:p w:rsidR="003C118F" w:rsidRPr="005C68CD" w:rsidRDefault="003C118F" w:rsidP="003C118F">
      <w:pPr>
        <w:spacing w:after="0" w:line="240" w:lineRule="auto"/>
        <w:jc w:val="both"/>
        <w:rPr>
          <w:rFonts w:ascii="Arial" w:hAnsi="Arial" w:cs="Arial"/>
          <w:sz w:val="24"/>
          <w:szCs w:val="24"/>
        </w:rPr>
      </w:pPr>
    </w:p>
    <w:p w:rsidR="00914890" w:rsidRPr="005C68CD" w:rsidRDefault="00914890" w:rsidP="003C118F">
      <w:pPr>
        <w:spacing w:after="0" w:line="240" w:lineRule="auto"/>
        <w:jc w:val="both"/>
        <w:rPr>
          <w:rFonts w:ascii="Arial" w:hAnsi="Arial" w:cs="Arial"/>
          <w:sz w:val="24"/>
          <w:szCs w:val="24"/>
        </w:rPr>
      </w:pPr>
      <w:r w:rsidRPr="005C68CD">
        <w:rPr>
          <w:rFonts w:ascii="Arial" w:hAnsi="Arial" w:cs="Arial"/>
          <w:sz w:val="24"/>
          <w:szCs w:val="24"/>
        </w:rPr>
        <w:t>The programme at June 2017 has been firmed up significantly with much greater certainty around schemes and future milestones.  The business plan has been updated to reflect this.  Notable achievements during the last six months include the completion and opening of the Broughton Bypass and the progression of the work associated with the design and delivery of the Broug</w:t>
      </w:r>
      <w:r w:rsidR="003C118F">
        <w:rPr>
          <w:rFonts w:ascii="Arial" w:hAnsi="Arial" w:cs="Arial"/>
          <w:sz w:val="24"/>
          <w:szCs w:val="24"/>
        </w:rPr>
        <w:t>hton corridor works.</w:t>
      </w:r>
    </w:p>
    <w:p w:rsidR="00914890" w:rsidRPr="005C68CD" w:rsidRDefault="00914890" w:rsidP="003C118F">
      <w:pPr>
        <w:spacing w:after="0" w:line="240" w:lineRule="auto"/>
        <w:jc w:val="both"/>
        <w:rPr>
          <w:rFonts w:ascii="Arial" w:hAnsi="Arial" w:cs="Arial"/>
          <w:sz w:val="24"/>
          <w:szCs w:val="24"/>
        </w:rPr>
      </w:pPr>
    </w:p>
    <w:p w:rsidR="00914890" w:rsidRPr="005C68CD" w:rsidRDefault="00914890" w:rsidP="003C118F">
      <w:pPr>
        <w:spacing w:after="0" w:line="240" w:lineRule="auto"/>
        <w:jc w:val="both"/>
        <w:rPr>
          <w:rFonts w:ascii="Arial" w:hAnsi="Arial" w:cs="Arial"/>
          <w:sz w:val="24"/>
          <w:szCs w:val="24"/>
        </w:rPr>
      </w:pPr>
      <w:r w:rsidRPr="005C68CD">
        <w:rPr>
          <w:rFonts w:ascii="Arial" w:hAnsi="Arial" w:cs="Arial"/>
          <w:sz w:val="24"/>
          <w:szCs w:val="24"/>
        </w:rPr>
        <w:t>The planning applications for Preston Western Distributor (PWD)</w:t>
      </w:r>
      <w:r>
        <w:rPr>
          <w:rFonts w:ascii="Arial" w:hAnsi="Arial" w:cs="Arial"/>
          <w:sz w:val="24"/>
          <w:szCs w:val="24"/>
        </w:rPr>
        <w:t xml:space="preserve"> and </w:t>
      </w:r>
      <w:r w:rsidRPr="005C68CD">
        <w:rPr>
          <w:rFonts w:ascii="Arial" w:hAnsi="Arial" w:cs="Arial"/>
          <w:sz w:val="24"/>
          <w:szCs w:val="24"/>
        </w:rPr>
        <w:t xml:space="preserve">  Penwortham </w:t>
      </w:r>
      <w:r>
        <w:rPr>
          <w:rFonts w:ascii="Arial" w:hAnsi="Arial" w:cs="Arial"/>
          <w:sz w:val="24"/>
          <w:szCs w:val="24"/>
        </w:rPr>
        <w:t>B</w:t>
      </w:r>
      <w:r w:rsidRPr="005C68CD">
        <w:rPr>
          <w:rFonts w:ascii="Arial" w:hAnsi="Arial" w:cs="Arial"/>
          <w:sz w:val="24"/>
          <w:szCs w:val="24"/>
        </w:rPr>
        <w:t xml:space="preserve">ypass </w:t>
      </w:r>
      <w:r>
        <w:rPr>
          <w:rFonts w:ascii="Arial" w:hAnsi="Arial" w:cs="Arial"/>
          <w:sz w:val="24"/>
          <w:szCs w:val="24"/>
        </w:rPr>
        <w:t xml:space="preserve">have both been approved with </w:t>
      </w:r>
      <w:r w:rsidRPr="005C68CD">
        <w:rPr>
          <w:rFonts w:ascii="Arial" w:hAnsi="Arial" w:cs="Arial"/>
          <w:sz w:val="24"/>
          <w:szCs w:val="24"/>
        </w:rPr>
        <w:t xml:space="preserve">Penwortham due to commence on site by the end of the year. </w:t>
      </w:r>
      <w:r>
        <w:rPr>
          <w:rFonts w:ascii="Arial" w:hAnsi="Arial" w:cs="Arial"/>
          <w:sz w:val="24"/>
          <w:szCs w:val="24"/>
        </w:rPr>
        <w:t xml:space="preserve">The </w:t>
      </w:r>
      <w:proofErr w:type="spellStart"/>
      <w:r>
        <w:rPr>
          <w:rFonts w:ascii="Arial" w:hAnsi="Arial" w:cs="Arial"/>
          <w:sz w:val="24"/>
          <w:szCs w:val="24"/>
        </w:rPr>
        <w:t>Cuerden</w:t>
      </w:r>
      <w:proofErr w:type="spellEnd"/>
      <w:r>
        <w:rPr>
          <w:rFonts w:ascii="Arial" w:hAnsi="Arial" w:cs="Arial"/>
          <w:sz w:val="24"/>
          <w:szCs w:val="24"/>
        </w:rPr>
        <w:t xml:space="preserve"> Strategic site has been through planning with a resolution to approve, subject to the completion of s106.  </w:t>
      </w:r>
      <w:r w:rsidRPr="005C68CD">
        <w:rPr>
          <w:rFonts w:ascii="Arial" w:hAnsi="Arial" w:cs="Arial"/>
          <w:sz w:val="24"/>
          <w:szCs w:val="24"/>
        </w:rPr>
        <w:t>The approval of planning permission for Penwortham bypass sets a programme for the delivery of the local centre works and this programme is now reflected in the business plan.</w:t>
      </w:r>
    </w:p>
    <w:p w:rsidR="00914890" w:rsidRPr="005C68CD" w:rsidRDefault="00914890" w:rsidP="003C118F">
      <w:pPr>
        <w:spacing w:after="0" w:line="240" w:lineRule="auto"/>
        <w:jc w:val="both"/>
        <w:rPr>
          <w:rFonts w:ascii="Arial" w:hAnsi="Arial" w:cs="Arial"/>
          <w:sz w:val="24"/>
          <w:szCs w:val="24"/>
        </w:rPr>
      </w:pPr>
    </w:p>
    <w:p w:rsidR="00914890" w:rsidRPr="005C68CD" w:rsidRDefault="00914890" w:rsidP="003C118F">
      <w:pPr>
        <w:spacing w:after="0" w:line="240" w:lineRule="auto"/>
        <w:jc w:val="both"/>
        <w:rPr>
          <w:rFonts w:ascii="Arial" w:hAnsi="Arial" w:cs="Arial"/>
          <w:sz w:val="24"/>
          <w:szCs w:val="24"/>
        </w:rPr>
      </w:pPr>
      <w:r w:rsidRPr="005C68CD">
        <w:rPr>
          <w:rFonts w:ascii="Arial" w:hAnsi="Arial" w:cs="Arial"/>
          <w:sz w:val="24"/>
          <w:szCs w:val="24"/>
        </w:rPr>
        <w:t>Work at Pope Lane roundabout is nearing completion</w:t>
      </w:r>
      <w:r>
        <w:rPr>
          <w:rFonts w:ascii="Arial" w:hAnsi="Arial" w:cs="Arial"/>
          <w:sz w:val="24"/>
          <w:szCs w:val="24"/>
        </w:rPr>
        <w:t>,</w:t>
      </w:r>
      <w:r w:rsidRPr="005C68CD">
        <w:rPr>
          <w:rFonts w:ascii="Arial" w:hAnsi="Arial" w:cs="Arial"/>
          <w:sz w:val="24"/>
          <w:szCs w:val="24"/>
        </w:rPr>
        <w:t xml:space="preserve"> as are the local centre improvement works on New Hall Lane.  </w:t>
      </w:r>
      <w:proofErr w:type="spellStart"/>
      <w:r w:rsidRPr="005C68CD">
        <w:rPr>
          <w:rFonts w:ascii="Arial" w:hAnsi="Arial" w:cs="Arial"/>
          <w:sz w:val="24"/>
          <w:szCs w:val="24"/>
        </w:rPr>
        <w:t>Bamber</w:t>
      </w:r>
      <w:proofErr w:type="spellEnd"/>
      <w:r w:rsidRPr="005C68CD">
        <w:rPr>
          <w:rFonts w:ascii="Arial" w:hAnsi="Arial" w:cs="Arial"/>
          <w:sz w:val="24"/>
          <w:szCs w:val="24"/>
        </w:rPr>
        <w:t xml:space="preserve"> Bridge Phase 1 is now complete as is the design for Phase 2 which is now proposing to start o</w:t>
      </w:r>
      <w:r>
        <w:rPr>
          <w:rFonts w:ascii="Arial" w:hAnsi="Arial" w:cs="Arial"/>
          <w:sz w:val="24"/>
          <w:szCs w:val="24"/>
        </w:rPr>
        <w:t>n</w:t>
      </w:r>
      <w:r w:rsidRPr="005C68CD">
        <w:rPr>
          <w:rFonts w:ascii="Arial" w:hAnsi="Arial" w:cs="Arial"/>
          <w:sz w:val="24"/>
          <w:szCs w:val="24"/>
        </w:rPr>
        <w:t xml:space="preserve"> site in Q4.  The delay to start on site as a result of awaiting delivery of materials has resulted in completion of the scheme now anticipated in year 5, Q2.  This is reflected in the business plan.</w:t>
      </w:r>
    </w:p>
    <w:p w:rsidR="00914890" w:rsidRPr="005C68CD" w:rsidRDefault="00914890" w:rsidP="003C118F">
      <w:pPr>
        <w:spacing w:after="0" w:line="240" w:lineRule="auto"/>
        <w:jc w:val="both"/>
        <w:rPr>
          <w:rFonts w:ascii="Arial" w:hAnsi="Arial" w:cs="Arial"/>
          <w:sz w:val="24"/>
          <w:szCs w:val="24"/>
        </w:rPr>
      </w:pPr>
    </w:p>
    <w:p w:rsidR="00914890" w:rsidRPr="005C68CD" w:rsidRDefault="00914890" w:rsidP="003C118F">
      <w:pPr>
        <w:spacing w:after="0" w:line="240" w:lineRule="auto"/>
        <w:jc w:val="both"/>
        <w:rPr>
          <w:rFonts w:ascii="Arial" w:hAnsi="Arial" w:cs="Arial"/>
          <w:sz w:val="24"/>
          <w:szCs w:val="24"/>
        </w:rPr>
      </w:pPr>
      <w:r w:rsidRPr="005C68CD">
        <w:rPr>
          <w:rFonts w:ascii="Arial" w:hAnsi="Arial" w:cs="Arial"/>
          <w:sz w:val="24"/>
          <w:szCs w:val="24"/>
        </w:rPr>
        <w:t xml:space="preserve">Preston bus station works are progressing well with the delivery of all bus bays now complete and work having commenced on the coach station.  Two of the subways have now been infilled, with the third and final one to be completed by the end of quarter 4.  The detailed design work for </w:t>
      </w:r>
      <w:proofErr w:type="spellStart"/>
      <w:r w:rsidRPr="005C68CD">
        <w:rPr>
          <w:rFonts w:ascii="Arial" w:hAnsi="Arial" w:cs="Arial"/>
          <w:sz w:val="24"/>
          <w:szCs w:val="24"/>
        </w:rPr>
        <w:t>Fishergate</w:t>
      </w:r>
      <w:proofErr w:type="spellEnd"/>
      <w:r w:rsidRPr="005C68CD">
        <w:rPr>
          <w:rFonts w:ascii="Arial" w:hAnsi="Arial" w:cs="Arial"/>
          <w:sz w:val="24"/>
          <w:szCs w:val="24"/>
        </w:rPr>
        <w:t xml:space="preserve"> Central Phase 3 is also expected to be complete by the end of the year.</w:t>
      </w:r>
    </w:p>
    <w:p w:rsidR="00914890" w:rsidRPr="005C68CD" w:rsidRDefault="00914890" w:rsidP="003C118F">
      <w:pPr>
        <w:spacing w:after="0" w:line="240" w:lineRule="auto"/>
        <w:jc w:val="both"/>
        <w:rPr>
          <w:rFonts w:ascii="Arial" w:hAnsi="Arial" w:cs="Arial"/>
          <w:sz w:val="24"/>
          <w:szCs w:val="24"/>
        </w:rPr>
      </w:pPr>
    </w:p>
    <w:p w:rsidR="00914890" w:rsidRPr="005C68CD" w:rsidRDefault="00914890" w:rsidP="003C118F">
      <w:pPr>
        <w:spacing w:after="0" w:line="240" w:lineRule="auto"/>
        <w:jc w:val="both"/>
        <w:rPr>
          <w:rFonts w:ascii="Arial" w:hAnsi="Arial" w:cs="Arial"/>
          <w:sz w:val="24"/>
          <w:szCs w:val="24"/>
        </w:rPr>
      </w:pPr>
      <w:r w:rsidRPr="005C68CD">
        <w:rPr>
          <w:rFonts w:ascii="Arial" w:hAnsi="Arial" w:cs="Arial"/>
          <w:sz w:val="24"/>
          <w:szCs w:val="24"/>
        </w:rPr>
        <w:t xml:space="preserve">Work on the City Transport Plan is progressing as is the </w:t>
      </w:r>
      <w:proofErr w:type="spellStart"/>
      <w:r w:rsidRPr="005C68CD">
        <w:rPr>
          <w:rFonts w:ascii="Arial" w:hAnsi="Arial" w:cs="Arial"/>
          <w:sz w:val="24"/>
          <w:szCs w:val="24"/>
        </w:rPr>
        <w:t>masterplanning</w:t>
      </w:r>
      <w:proofErr w:type="spellEnd"/>
      <w:r w:rsidRPr="005C68CD">
        <w:rPr>
          <w:rFonts w:ascii="Arial" w:hAnsi="Arial" w:cs="Arial"/>
          <w:sz w:val="24"/>
          <w:szCs w:val="24"/>
        </w:rPr>
        <w:t xml:space="preserve"> exercise for the remaining corridors.  The outputs and final reports along with presentation to the steering group are expected in the New Year.</w:t>
      </w:r>
    </w:p>
    <w:p w:rsidR="00914890" w:rsidRDefault="00914890" w:rsidP="003C118F">
      <w:pPr>
        <w:spacing w:after="0" w:line="240" w:lineRule="auto"/>
        <w:rPr>
          <w:rFonts w:ascii="Arial" w:hAnsi="Arial" w:cs="Arial"/>
          <w:sz w:val="24"/>
          <w:szCs w:val="24"/>
        </w:rPr>
      </w:pPr>
    </w:p>
    <w:p w:rsidR="00914890" w:rsidRPr="005C68CD" w:rsidRDefault="00914890" w:rsidP="003C118F">
      <w:pPr>
        <w:spacing w:after="0" w:line="240" w:lineRule="auto"/>
        <w:rPr>
          <w:rFonts w:ascii="Arial" w:hAnsi="Arial" w:cs="Arial"/>
          <w:sz w:val="24"/>
          <w:szCs w:val="24"/>
        </w:rPr>
      </w:pPr>
      <w:r w:rsidRPr="005C68CD">
        <w:rPr>
          <w:rFonts w:ascii="Arial" w:hAnsi="Arial" w:cs="Arial"/>
          <w:sz w:val="24"/>
          <w:szCs w:val="24"/>
        </w:rPr>
        <w:t xml:space="preserve">Appendix </w:t>
      </w:r>
      <w:r w:rsidR="002C2305">
        <w:rPr>
          <w:rFonts w:ascii="Arial" w:hAnsi="Arial" w:cs="Arial"/>
          <w:sz w:val="24"/>
          <w:szCs w:val="24"/>
        </w:rPr>
        <w:t>4</w:t>
      </w:r>
      <w:r w:rsidRPr="005C68CD">
        <w:rPr>
          <w:rFonts w:ascii="Arial" w:hAnsi="Arial" w:cs="Arial"/>
          <w:sz w:val="24"/>
          <w:szCs w:val="24"/>
        </w:rPr>
        <w:t xml:space="preserve"> – </w:t>
      </w:r>
      <w:r>
        <w:rPr>
          <w:rFonts w:ascii="Arial" w:hAnsi="Arial" w:cs="Arial"/>
          <w:sz w:val="24"/>
          <w:szCs w:val="24"/>
        </w:rPr>
        <w:t xml:space="preserve">The </w:t>
      </w:r>
      <w:r w:rsidRPr="005C68CD">
        <w:rPr>
          <w:rFonts w:ascii="Arial" w:hAnsi="Arial" w:cs="Arial"/>
          <w:sz w:val="24"/>
          <w:szCs w:val="24"/>
        </w:rPr>
        <w:t xml:space="preserve">City Deal Infrastructure update dashboard </w:t>
      </w:r>
      <w:r>
        <w:rPr>
          <w:rFonts w:ascii="Arial" w:hAnsi="Arial" w:cs="Arial"/>
          <w:sz w:val="24"/>
          <w:szCs w:val="24"/>
        </w:rPr>
        <w:t xml:space="preserve">(Q2) </w:t>
      </w:r>
      <w:r w:rsidRPr="005C68CD">
        <w:rPr>
          <w:rFonts w:ascii="Arial" w:hAnsi="Arial" w:cs="Arial"/>
          <w:sz w:val="24"/>
          <w:szCs w:val="24"/>
        </w:rPr>
        <w:t>provides a det</w:t>
      </w:r>
      <w:r>
        <w:rPr>
          <w:rFonts w:ascii="Arial" w:hAnsi="Arial" w:cs="Arial"/>
          <w:sz w:val="24"/>
          <w:szCs w:val="24"/>
        </w:rPr>
        <w:t>ailed RAG summary of performance for each scheme</w:t>
      </w:r>
      <w:r w:rsidRPr="005C68CD">
        <w:rPr>
          <w:rFonts w:ascii="Arial" w:hAnsi="Arial" w:cs="Arial"/>
          <w:sz w:val="24"/>
          <w:szCs w:val="24"/>
        </w:rPr>
        <w:t xml:space="preserve"> as well as highlighting movements in the programme, general performance and key issues.  </w:t>
      </w:r>
    </w:p>
    <w:p w:rsidR="00914890" w:rsidRPr="005C68CD" w:rsidRDefault="00914890" w:rsidP="003C118F">
      <w:pPr>
        <w:spacing w:after="0" w:line="240" w:lineRule="auto"/>
        <w:rPr>
          <w:rFonts w:ascii="Arial" w:hAnsi="Arial" w:cs="Arial"/>
          <w:sz w:val="24"/>
          <w:szCs w:val="24"/>
        </w:rPr>
      </w:pPr>
    </w:p>
    <w:p w:rsidR="003C118F" w:rsidRDefault="003C118F" w:rsidP="003C118F">
      <w:pPr>
        <w:spacing w:after="0" w:line="240" w:lineRule="auto"/>
        <w:rPr>
          <w:rFonts w:ascii="Arial" w:hAnsi="Arial" w:cs="Arial"/>
          <w:b/>
          <w:sz w:val="24"/>
          <w:szCs w:val="24"/>
          <w:u w:val="single"/>
        </w:rPr>
      </w:pPr>
    </w:p>
    <w:p w:rsidR="003C118F" w:rsidRDefault="003C118F" w:rsidP="003C118F">
      <w:pPr>
        <w:spacing w:after="0" w:line="240" w:lineRule="auto"/>
        <w:rPr>
          <w:rFonts w:ascii="Arial" w:hAnsi="Arial" w:cs="Arial"/>
          <w:b/>
          <w:sz w:val="24"/>
          <w:szCs w:val="24"/>
          <w:u w:val="single"/>
        </w:rPr>
      </w:pPr>
    </w:p>
    <w:p w:rsidR="003C118F" w:rsidRDefault="003C118F" w:rsidP="003C118F">
      <w:pPr>
        <w:spacing w:after="0" w:line="240" w:lineRule="auto"/>
        <w:rPr>
          <w:rFonts w:ascii="Arial" w:hAnsi="Arial" w:cs="Arial"/>
          <w:b/>
          <w:sz w:val="24"/>
          <w:szCs w:val="24"/>
          <w:u w:val="single"/>
        </w:rPr>
      </w:pPr>
    </w:p>
    <w:p w:rsidR="003C118F" w:rsidRDefault="003C118F" w:rsidP="003C118F">
      <w:pPr>
        <w:spacing w:after="0" w:line="240" w:lineRule="auto"/>
        <w:rPr>
          <w:rFonts w:ascii="Arial" w:hAnsi="Arial" w:cs="Arial"/>
          <w:b/>
          <w:sz w:val="24"/>
          <w:szCs w:val="24"/>
          <w:u w:val="single"/>
        </w:rPr>
      </w:pPr>
    </w:p>
    <w:p w:rsidR="003C118F" w:rsidRDefault="003C118F" w:rsidP="003C118F">
      <w:pPr>
        <w:spacing w:after="0" w:line="240" w:lineRule="auto"/>
        <w:rPr>
          <w:rFonts w:ascii="Arial" w:hAnsi="Arial" w:cs="Arial"/>
          <w:b/>
          <w:sz w:val="24"/>
          <w:szCs w:val="24"/>
          <w:u w:val="single"/>
        </w:rPr>
      </w:pPr>
    </w:p>
    <w:p w:rsidR="00914890" w:rsidRDefault="00914890" w:rsidP="003C118F">
      <w:pPr>
        <w:spacing w:after="0" w:line="240" w:lineRule="auto"/>
        <w:rPr>
          <w:rFonts w:ascii="Arial" w:hAnsi="Arial" w:cs="Arial"/>
          <w:b/>
          <w:sz w:val="24"/>
          <w:szCs w:val="24"/>
          <w:u w:val="single"/>
        </w:rPr>
      </w:pPr>
      <w:r w:rsidRPr="005C68CD">
        <w:rPr>
          <w:rFonts w:ascii="Arial" w:hAnsi="Arial" w:cs="Arial"/>
          <w:b/>
          <w:sz w:val="24"/>
          <w:szCs w:val="24"/>
          <w:u w:val="single"/>
        </w:rPr>
        <w:t>Implementation Issues</w:t>
      </w:r>
    </w:p>
    <w:p w:rsidR="003C118F" w:rsidRPr="005C68CD" w:rsidRDefault="003C118F" w:rsidP="003C118F">
      <w:pPr>
        <w:spacing w:after="0" w:line="240" w:lineRule="auto"/>
        <w:rPr>
          <w:rFonts w:ascii="Arial" w:hAnsi="Arial" w:cs="Arial"/>
          <w:b/>
          <w:sz w:val="24"/>
          <w:szCs w:val="24"/>
          <w:u w:val="single"/>
        </w:rPr>
      </w:pPr>
    </w:p>
    <w:p w:rsidR="00914890" w:rsidRPr="005C68CD" w:rsidRDefault="00914890" w:rsidP="003C118F">
      <w:pPr>
        <w:spacing w:after="0" w:line="240" w:lineRule="auto"/>
        <w:ind w:hanging="283"/>
        <w:jc w:val="both"/>
        <w:rPr>
          <w:rFonts w:ascii="Arial" w:hAnsi="Arial" w:cs="Arial"/>
          <w:sz w:val="24"/>
          <w:szCs w:val="24"/>
        </w:rPr>
      </w:pPr>
      <w:r w:rsidRPr="005C68CD">
        <w:rPr>
          <w:rFonts w:ascii="Arial" w:hAnsi="Arial" w:cs="Arial"/>
          <w:sz w:val="24"/>
          <w:szCs w:val="24"/>
        </w:rPr>
        <w:t xml:space="preserve">    The table below sets out the current key issues that are being prioritised in the programme in order to appropriately manage risk. Some of the issues have previously been reported and an update on the current position is provided. </w:t>
      </w:r>
    </w:p>
    <w:p w:rsidR="00914890" w:rsidRPr="005C68CD" w:rsidRDefault="00914890" w:rsidP="003C118F">
      <w:pPr>
        <w:spacing w:after="0" w:line="240" w:lineRule="auto"/>
        <w:jc w:val="both"/>
        <w:rPr>
          <w:rFonts w:ascii="Arial" w:hAnsi="Arial" w:cs="Arial"/>
          <w:sz w:val="24"/>
          <w:szCs w:val="24"/>
        </w:rPr>
      </w:pPr>
    </w:p>
    <w:tbl>
      <w:tblPr>
        <w:tblStyle w:val="TableGrid"/>
        <w:tblW w:w="9214" w:type="dxa"/>
        <w:tblInd w:w="-5" w:type="dxa"/>
        <w:tblLook w:val="04A0" w:firstRow="1" w:lastRow="0" w:firstColumn="1" w:lastColumn="0" w:noHBand="0" w:noVBand="1"/>
      </w:tblPr>
      <w:tblGrid>
        <w:gridCol w:w="2712"/>
        <w:gridCol w:w="6502"/>
      </w:tblGrid>
      <w:tr w:rsidR="00914890" w:rsidRPr="005C68CD" w:rsidTr="00914890">
        <w:tc>
          <w:tcPr>
            <w:tcW w:w="2712" w:type="dxa"/>
          </w:tcPr>
          <w:p w:rsidR="00914890" w:rsidRPr="005C68CD" w:rsidRDefault="00914890" w:rsidP="003C118F">
            <w:pPr>
              <w:jc w:val="both"/>
              <w:rPr>
                <w:rFonts w:ascii="Arial" w:hAnsi="Arial" w:cs="Arial"/>
                <w:b/>
                <w:sz w:val="24"/>
                <w:szCs w:val="24"/>
              </w:rPr>
            </w:pPr>
            <w:r w:rsidRPr="005C68CD">
              <w:rPr>
                <w:rFonts w:ascii="Arial" w:hAnsi="Arial" w:cs="Arial"/>
                <w:b/>
                <w:sz w:val="24"/>
                <w:szCs w:val="24"/>
              </w:rPr>
              <w:t>Scheme/Issue</w:t>
            </w:r>
          </w:p>
          <w:p w:rsidR="00914890" w:rsidRPr="005C68CD" w:rsidRDefault="00914890" w:rsidP="003C118F">
            <w:pPr>
              <w:jc w:val="both"/>
              <w:rPr>
                <w:rFonts w:ascii="Arial" w:hAnsi="Arial" w:cs="Arial"/>
                <w:b/>
                <w:sz w:val="24"/>
                <w:szCs w:val="24"/>
              </w:rPr>
            </w:pPr>
          </w:p>
        </w:tc>
        <w:tc>
          <w:tcPr>
            <w:tcW w:w="6502" w:type="dxa"/>
          </w:tcPr>
          <w:p w:rsidR="00914890" w:rsidRPr="005C68CD" w:rsidRDefault="00914890" w:rsidP="003C118F">
            <w:pPr>
              <w:jc w:val="both"/>
              <w:rPr>
                <w:rFonts w:ascii="Arial" w:hAnsi="Arial" w:cs="Arial"/>
                <w:b/>
                <w:sz w:val="24"/>
                <w:szCs w:val="24"/>
              </w:rPr>
            </w:pPr>
            <w:r w:rsidRPr="005C68CD">
              <w:rPr>
                <w:rFonts w:ascii="Arial" w:hAnsi="Arial" w:cs="Arial"/>
                <w:b/>
                <w:sz w:val="24"/>
                <w:szCs w:val="24"/>
              </w:rPr>
              <w:t>Update/Latest Position</w:t>
            </w:r>
          </w:p>
        </w:tc>
      </w:tr>
      <w:tr w:rsidR="00914890" w:rsidRPr="005C68CD" w:rsidTr="00914890">
        <w:tc>
          <w:tcPr>
            <w:tcW w:w="2712" w:type="dxa"/>
          </w:tcPr>
          <w:p w:rsidR="00914890" w:rsidRPr="005C68CD" w:rsidRDefault="00914890" w:rsidP="003C118F">
            <w:pPr>
              <w:jc w:val="both"/>
              <w:rPr>
                <w:rFonts w:ascii="Arial" w:hAnsi="Arial" w:cs="Arial"/>
                <w:b/>
                <w:sz w:val="24"/>
                <w:szCs w:val="24"/>
              </w:rPr>
            </w:pPr>
            <w:r w:rsidRPr="005C68CD">
              <w:rPr>
                <w:rFonts w:ascii="Arial" w:hAnsi="Arial" w:cs="Arial"/>
                <w:b/>
                <w:sz w:val="24"/>
                <w:szCs w:val="24"/>
              </w:rPr>
              <w:t xml:space="preserve">Preston Western Distributor </w:t>
            </w:r>
          </w:p>
        </w:tc>
        <w:tc>
          <w:tcPr>
            <w:tcW w:w="6502" w:type="dxa"/>
          </w:tcPr>
          <w:p w:rsidR="00914890" w:rsidRPr="005C68CD" w:rsidRDefault="00914890" w:rsidP="003C118F">
            <w:pPr>
              <w:pStyle w:val="Subtitle"/>
              <w:spacing w:after="0" w:line="240" w:lineRule="auto"/>
              <w:rPr>
                <w:color w:val="auto"/>
              </w:rPr>
            </w:pPr>
            <w:r w:rsidRPr="005C68CD">
              <w:rPr>
                <w:rFonts w:ascii="Arial" w:hAnsi="Arial" w:cs="Arial"/>
                <w:color w:val="auto"/>
                <w:sz w:val="24"/>
                <w:szCs w:val="24"/>
              </w:rPr>
              <w:t>See detailed report included elsewhere on the E&amp;SB Agenda</w:t>
            </w:r>
          </w:p>
        </w:tc>
      </w:tr>
      <w:tr w:rsidR="00914890" w:rsidRPr="005C68CD" w:rsidTr="00914890">
        <w:tc>
          <w:tcPr>
            <w:tcW w:w="2712" w:type="dxa"/>
          </w:tcPr>
          <w:p w:rsidR="00914890" w:rsidRPr="005C68CD" w:rsidRDefault="00914890" w:rsidP="003C118F">
            <w:pPr>
              <w:jc w:val="both"/>
              <w:rPr>
                <w:rFonts w:ascii="Arial" w:hAnsi="Arial" w:cs="Arial"/>
                <w:b/>
                <w:sz w:val="24"/>
                <w:szCs w:val="24"/>
              </w:rPr>
            </w:pPr>
            <w:r w:rsidRPr="005C68CD">
              <w:rPr>
                <w:rFonts w:ascii="Arial" w:hAnsi="Arial" w:cs="Arial"/>
                <w:b/>
                <w:sz w:val="24"/>
                <w:szCs w:val="24"/>
              </w:rPr>
              <w:t>East/West Link Road</w:t>
            </w:r>
          </w:p>
        </w:tc>
        <w:tc>
          <w:tcPr>
            <w:tcW w:w="6502" w:type="dxa"/>
          </w:tcPr>
          <w:p w:rsidR="00914890" w:rsidRPr="005C68CD" w:rsidRDefault="00914890" w:rsidP="003C118F">
            <w:pPr>
              <w:jc w:val="both"/>
              <w:rPr>
                <w:rFonts w:ascii="Arial" w:hAnsi="Arial" w:cs="Arial"/>
                <w:sz w:val="24"/>
                <w:szCs w:val="24"/>
              </w:rPr>
            </w:pPr>
            <w:r w:rsidRPr="005C68CD">
              <w:rPr>
                <w:rFonts w:ascii="Arial" w:hAnsi="Arial" w:cs="Arial"/>
                <w:sz w:val="24"/>
                <w:szCs w:val="24"/>
              </w:rPr>
              <w:t>See detailed report included elsewhere on the E&amp;SB Agenda</w:t>
            </w:r>
          </w:p>
        </w:tc>
      </w:tr>
      <w:tr w:rsidR="00914890" w:rsidRPr="005C68CD" w:rsidTr="00914890">
        <w:tc>
          <w:tcPr>
            <w:tcW w:w="2712" w:type="dxa"/>
          </w:tcPr>
          <w:p w:rsidR="00914890" w:rsidRPr="005C68CD" w:rsidRDefault="00914890" w:rsidP="003C118F">
            <w:pPr>
              <w:pStyle w:val="ListParagraph"/>
              <w:ind w:left="0"/>
              <w:rPr>
                <w:rFonts w:ascii="Arial" w:hAnsi="Arial" w:cs="Arial"/>
                <w:sz w:val="24"/>
                <w:szCs w:val="24"/>
              </w:rPr>
            </w:pPr>
            <w:proofErr w:type="spellStart"/>
            <w:r w:rsidRPr="005C68CD">
              <w:rPr>
                <w:rFonts w:ascii="Arial" w:hAnsi="Arial" w:cs="Arial"/>
                <w:b/>
                <w:sz w:val="24"/>
                <w:szCs w:val="24"/>
              </w:rPr>
              <w:t>Pickerings</w:t>
            </w:r>
            <w:proofErr w:type="spellEnd"/>
            <w:r w:rsidRPr="005C68CD">
              <w:rPr>
                <w:rFonts w:ascii="Arial" w:hAnsi="Arial" w:cs="Arial"/>
                <w:b/>
                <w:sz w:val="24"/>
                <w:szCs w:val="24"/>
              </w:rPr>
              <w:t xml:space="preserve"> Farm - </w:t>
            </w:r>
            <w:r w:rsidRPr="005C68CD">
              <w:rPr>
                <w:rFonts w:ascii="Arial" w:hAnsi="Arial" w:cs="Arial"/>
                <w:sz w:val="24"/>
                <w:szCs w:val="24"/>
              </w:rPr>
              <w:t>Link Road cannot be progressed to design stage until bridge options have been determined and funding issues resolved.</w:t>
            </w:r>
          </w:p>
          <w:p w:rsidR="00914890" w:rsidRPr="005C68CD" w:rsidRDefault="00914890" w:rsidP="003C118F">
            <w:pPr>
              <w:pStyle w:val="ListParagraph"/>
              <w:ind w:left="0"/>
              <w:rPr>
                <w:rFonts w:ascii="Arial" w:hAnsi="Arial" w:cs="Arial"/>
                <w:sz w:val="24"/>
                <w:szCs w:val="24"/>
              </w:rPr>
            </w:pPr>
          </w:p>
          <w:p w:rsidR="00914890" w:rsidRPr="005C68CD" w:rsidRDefault="00914890" w:rsidP="003C118F">
            <w:pPr>
              <w:pStyle w:val="ListParagraph"/>
              <w:ind w:left="0"/>
              <w:rPr>
                <w:rFonts w:ascii="Arial" w:hAnsi="Arial" w:cs="Arial"/>
                <w:b/>
                <w:sz w:val="24"/>
                <w:szCs w:val="24"/>
              </w:rPr>
            </w:pPr>
            <w:r w:rsidRPr="005C68CD">
              <w:rPr>
                <w:rFonts w:ascii="Arial" w:hAnsi="Arial" w:cs="Arial"/>
                <w:sz w:val="24"/>
                <w:szCs w:val="24"/>
              </w:rPr>
              <w:t xml:space="preserve">Arrangements will need to be in place prior to detailed </w:t>
            </w:r>
            <w:proofErr w:type="spellStart"/>
            <w:r w:rsidRPr="005C68CD">
              <w:rPr>
                <w:rFonts w:ascii="Arial" w:hAnsi="Arial" w:cs="Arial"/>
                <w:sz w:val="24"/>
                <w:szCs w:val="24"/>
              </w:rPr>
              <w:t>masterplanning</w:t>
            </w:r>
            <w:proofErr w:type="spellEnd"/>
            <w:r w:rsidRPr="005C68CD">
              <w:rPr>
                <w:rFonts w:ascii="Arial" w:hAnsi="Arial" w:cs="Arial"/>
                <w:sz w:val="24"/>
                <w:szCs w:val="24"/>
              </w:rPr>
              <w:t xml:space="preserve"> being completed.</w:t>
            </w:r>
          </w:p>
        </w:tc>
        <w:tc>
          <w:tcPr>
            <w:tcW w:w="6502" w:type="dxa"/>
          </w:tcPr>
          <w:p w:rsidR="00914890" w:rsidRPr="005C68CD" w:rsidRDefault="00914890" w:rsidP="003C118F">
            <w:pPr>
              <w:rPr>
                <w:rFonts w:ascii="Arial" w:hAnsi="Arial" w:cs="Arial"/>
                <w:sz w:val="24"/>
                <w:szCs w:val="24"/>
              </w:rPr>
            </w:pPr>
            <w:r w:rsidRPr="005C68CD">
              <w:rPr>
                <w:rFonts w:ascii="Arial" w:hAnsi="Arial" w:cs="Arial"/>
                <w:sz w:val="24"/>
                <w:szCs w:val="24"/>
              </w:rPr>
              <w:t>This site remains in the pre-application stage.  Based on the latest returns from the HCA and Taylor Wimpey, the proposed unit numbers have reduced from 1350 to 1200.</w:t>
            </w:r>
          </w:p>
          <w:p w:rsidR="00914890" w:rsidRPr="005C68CD" w:rsidRDefault="00914890" w:rsidP="003C118F">
            <w:pPr>
              <w:rPr>
                <w:rFonts w:ascii="Arial" w:hAnsi="Arial" w:cs="Arial"/>
                <w:sz w:val="24"/>
                <w:szCs w:val="24"/>
              </w:rPr>
            </w:pPr>
          </w:p>
          <w:p w:rsidR="00914890" w:rsidRPr="005C68CD" w:rsidRDefault="00914890" w:rsidP="003C118F">
            <w:pPr>
              <w:rPr>
                <w:rFonts w:ascii="Arial" w:hAnsi="Arial" w:cs="Arial"/>
                <w:b/>
                <w:sz w:val="24"/>
                <w:szCs w:val="24"/>
              </w:rPr>
            </w:pPr>
          </w:p>
          <w:p w:rsidR="00914890" w:rsidRPr="005C68CD" w:rsidRDefault="00914890" w:rsidP="003C118F">
            <w:pPr>
              <w:rPr>
                <w:rFonts w:ascii="Arial" w:hAnsi="Arial" w:cs="Arial"/>
                <w:b/>
                <w:sz w:val="24"/>
                <w:szCs w:val="24"/>
              </w:rPr>
            </w:pPr>
          </w:p>
        </w:tc>
      </w:tr>
    </w:tbl>
    <w:p w:rsidR="00914890" w:rsidRPr="005C68CD" w:rsidRDefault="00914890" w:rsidP="003C118F">
      <w:pPr>
        <w:spacing w:after="0" w:line="240" w:lineRule="auto"/>
        <w:jc w:val="both"/>
        <w:rPr>
          <w:rFonts w:ascii="Arial" w:hAnsi="Arial" w:cs="Arial"/>
          <w:b/>
          <w:sz w:val="24"/>
          <w:szCs w:val="24"/>
        </w:rPr>
      </w:pPr>
    </w:p>
    <w:p w:rsidR="00914890" w:rsidRDefault="00914890" w:rsidP="003C118F">
      <w:pPr>
        <w:spacing w:after="0" w:line="240" w:lineRule="auto"/>
        <w:rPr>
          <w:rFonts w:ascii="Arial" w:hAnsi="Arial" w:cs="Arial"/>
          <w:b/>
          <w:sz w:val="24"/>
          <w:szCs w:val="24"/>
        </w:rPr>
      </w:pPr>
      <w:r w:rsidRPr="006E324E">
        <w:rPr>
          <w:rFonts w:ascii="Arial" w:hAnsi="Arial" w:cs="Arial"/>
          <w:b/>
          <w:sz w:val="24"/>
          <w:szCs w:val="24"/>
        </w:rPr>
        <w:t xml:space="preserve">Risk Management </w:t>
      </w:r>
    </w:p>
    <w:p w:rsidR="003C118F" w:rsidRPr="006E324E" w:rsidRDefault="003C118F" w:rsidP="003C118F">
      <w:pPr>
        <w:spacing w:after="0" w:line="240" w:lineRule="auto"/>
        <w:rPr>
          <w:rFonts w:ascii="Arial" w:hAnsi="Arial" w:cs="Arial"/>
          <w:b/>
          <w:sz w:val="24"/>
          <w:szCs w:val="24"/>
        </w:rPr>
      </w:pPr>
    </w:p>
    <w:p w:rsidR="00914890" w:rsidRDefault="00914890" w:rsidP="003C118F">
      <w:pPr>
        <w:spacing w:after="0" w:line="240" w:lineRule="auto"/>
        <w:rPr>
          <w:rFonts w:ascii="Arial" w:hAnsi="Arial" w:cs="Arial"/>
          <w:sz w:val="24"/>
          <w:szCs w:val="24"/>
        </w:rPr>
      </w:pPr>
      <w:r w:rsidRPr="00AB59DA">
        <w:rPr>
          <w:rFonts w:ascii="Arial" w:hAnsi="Arial" w:cs="Arial"/>
          <w:sz w:val="24"/>
          <w:szCs w:val="24"/>
        </w:rPr>
        <w:t xml:space="preserve">Whilst the City Deal Infrastructure Delivery Programme will deliver the critical infrastructure required to enable the full development of significant housing and commercial development schemes, the success of the programme (in so far as achieving its agreed core outputs) is subject to a series of cost, resource and timing risks associated with the infrastructure elements with other planning, commercial, policy and political risks associated with the whole programme but with particular relevance to the achievement of core outputs. </w:t>
      </w:r>
    </w:p>
    <w:p w:rsidR="003C118F" w:rsidRPr="00AB59DA" w:rsidRDefault="003C118F" w:rsidP="003C118F">
      <w:pPr>
        <w:spacing w:after="0" w:line="240" w:lineRule="auto"/>
        <w:rPr>
          <w:rFonts w:ascii="Arial" w:hAnsi="Arial" w:cs="Arial"/>
          <w:sz w:val="24"/>
          <w:szCs w:val="24"/>
        </w:rPr>
      </w:pPr>
    </w:p>
    <w:p w:rsidR="00914890" w:rsidRPr="00AB59DA" w:rsidRDefault="00914890" w:rsidP="003C118F">
      <w:pPr>
        <w:spacing w:after="0" w:line="240" w:lineRule="auto"/>
        <w:rPr>
          <w:rFonts w:ascii="Arial" w:hAnsi="Arial" w:cs="Arial"/>
          <w:sz w:val="24"/>
          <w:szCs w:val="24"/>
        </w:rPr>
      </w:pPr>
      <w:r w:rsidRPr="00AB59DA">
        <w:rPr>
          <w:rFonts w:ascii="Arial" w:hAnsi="Arial" w:cs="Arial"/>
          <w:sz w:val="24"/>
          <w:szCs w:val="24"/>
        </w:rPr>
        <w:t xml:space="preserve">Any risks associated with the delivery of the key infrastructure is reported upon separately, and the completion dates for strategic highways are noted elsewhere. </w:t>
      </w:r>
    </w:p>
    <w:p w:rsidR="00914890" w:rsidRPr="00AB59DA" w:rsidRDefault="00914890" w:rsidP="003C118F">
      <w:pPr>
        <w:spacing w:after="0" w:line="240" w:lineRule="auto"/>
        <w:rPr>
          <w:rFonts w:ascii="Arial" w:hAnsi="Arial" w:cs="Arial"/>
          <w:sz w:val="24"/>
          <w:szCs w:val="24"/>
        </w:rPr>
      </w:pPr>
    </w:p>
    <w:p w:rsidR="00914890" w:rsidRPr="00AB59DA" w:rsidRDefault="00914890" w:rsidP="003C118F">
      <w:pPr>
        <w:spacing w:after="0" w:line="240" w:lineRule="auto"/>
        <w:rPr>
          <w:rFonts w:ascii="Arial" w:hAnsi="Arial" w:cs="Arial"/>
          <w:sz w:val="24"/>
          <w:szCs w:val="24"/>
        </w:rPr>
      </w:pPr>
      <w:r w:rsidRPr="00AB59DA">
        <w:rPr>
          <w:rFonts w:ascii="Arial" w:hAnsi="Arial" w:cs="Arial"/>
          <w:sz w:val="24"/>
          <w:szCs w:val="24"/>
        </w:rPr>
        <w:t xml:space="preserve">The City Deal Programme area is a clearly defined city-area and as such is a tightly drawn geography subject to usual market forces and competition, with the result that development activity can and does vary from year to year. </w:t>
      </w:r>
    </w:p>
    <w:p w:rsidR="00914890" w:rsidRPr="00AB59DA" w:rsidRDefault="00914890" w:rsidP="003C118F">
      <w:pPr>
        <w:spacing w:after="0" w:line="240" w:lineRule="auto"/>
        <w:rPr>
          <w:rFonts w:ascii="Arial" w:hAnsi="Arial" w:cs="Arial"/>
          <w:sz w:val="24"/>
          <w:szCs w:val="24"/>
        </w:rPr>
      </w:pPr>
    </w:p>
    <w:p w:rsidR="00914890" w:rsidRPr="00AB59DA" w:rsidRDefault="00914890" w:rsidP="003C118F">
      <w:pPr>
        <w:spacing w:after="0" w:line="240" w:lineRule="auto"/>
        <w:rPr>
          <w:rFonts w:ascii="Arial" w:hAnsi="Arial" w:cs="Arial"/>
          <w:sz w:val="24"/>
          <w:szCs w:val="24"/>
        </w:rPr>
      </w:pPr>
      <w:r w:rsidRPr="00AB59DA">
        <w:rPr>
          <w:rFonts w:ascii="Arial" w:hAnsi="Arial" w:cs="Arial"/>
          <w:sz w:val="24"/>
          <w:szCs w:val="24"/>
        </w:rPr>
        <w:t xml:space="preserve">That said, the core and supporting outputs, and partner market intelligence, act as a mechanism to anticipate where the City Deal Programme may experience problems </w:t>
      </w:r>
      <w:r w:rsidRPr="00AB59DA">
        <w:rPr>
          <w:rFonts w:ascii="Arial" w:hAnsi="Arial" w:cs="Arial"/>
          <w:sz w:val="24"/>
          <w:szCs w:val="24"/>
        </w:rPr>
        <w:lastRenderedPageBreak/>
        <w:t xml:space="preserve">in achieving housing completions, commercial development and job creation. The risks that are specific to this housing and commercial development activity are reported below, and updates are provided to indicate how these risks; </w:t>
      </w:r>
      <w:proofErr w:type="spellStart"/>
      <w:r w:rsidRPr="00AB59DA">
        <w:rPr>
          <w:rFonts w:ascii="Arial" w:hAnsi="Arial" w:cs="Arial"/>
          <w:sz w:val="24"/>
          <w:szCs w:val="24"/>
        </w:rPr>
        <w:t>i</w:t>
      </w:r>
      <w:proofErr w:type="spellEnd"/>
      <w:r w:rsidRPr="00AB59DA">
        <w:rPr>
          <w:rFonts w:ascii="Arial" w:hAnsi="Arial" w:cs="Arial"/>
          <w:sz w:val="24"/>
          <w:szCs w:val="24"/>
        </w:rPr>
        <w:t xml:space="preserve">) are changing,  ii) what impact they may have upon programme delivery and iii) how they are best being mitigated. </w:t>
      </w:r>
    </w:p>
    <w:p w:rsidR="00914890" w:rsidRPr="00AB59DA" w:rsidRDefault="00914890" w:rsidP="003C118F">
      <w:pPr>
        <w:spacing w:after="0" w:line="240" w:lineRule="auto"/>
        <w:rPr>
          <w:rFonts w:ascii="Arial" w:hAnsi="Arial" w:cs="Arial"/>
          <w:sz w:val="24"/>
          <w:szCs w:val="24"/>
          <w:u w:val="single"/>
        </w:rPr>
      </w:pPr>
    </w:p>
    <w:p w:rsidR="00914890" w:rsidRPr="00AB59DA" w:rsidRDefault="003C118F" w:rsidP="003C118F">
      <w:pPr>
        <w:spacing w:after="0" w:line="240" w:lineRule="auto"/>
        <w:rPr>
          <w:rFonts w:ascii="Arial" w:hAnsi="Arial" w:cs="Arial"/>
          <w:b/>
          <w:sz w:val="24"/>
          <w:szCs w:val="24"/>
          <w:u w:val="single"/>
        </w:rPr>
      </w:pPr>
      <w:r>
        <w:rPr>
          <w:rFonts w:ascii="Arial" w:hAnsi="Arial" w:cs="Arial"/>
          <w:b/>
          <w:sz w:val="24"/>
          <w:szCs w:val="24"/>
          <w:u w:val="single"/>
        </w:rPr>
        <w:t>Planning risks</w:t>
      </w:r>
    </w:p>
    <w:p w:rsidR="00914890" w:rsidRPr="00AB59DA" w:rsidRDefault="00914890" w:rsidP="003C118F">
      <w:pPr>
        <w:spacing w:after="0" w:line="240" w:lineRule="auto"/>
        <w:rPr>
          <w:rFonts w:ascii="Arial" w:hAnsi="Arial" w:cs="Arial"/>
          <w:b/>
          <w:sz w:val="24"/>
          <w:szCs w:val="24"/>
          <w:u w:val="single"/>
        </w:rPr>
      </w:pPr>
    </w:p>
    <w:p w:rsidR="00914890" w:rsidRPr="00AB59DA" w:rsidRDefault="00914890" w:rsidP="003C118F">
      <w:pPr>
        <w:spacing w:after="0" w:line="240" w:lineRule="auto"/>
        <w:rPr>
          <w:rFonts w:ascii="Arial" w:hAnsi="Arial" w:cs="Arial"/>
          <w:sz w:val="24"/>
          <w:szCs w:val="24"/>
          <w:u w:val="single"/>
        </w:rPr>
      </w:pPr>
    </w:p>
    <w:tbl>
      <w:tblPr>
        <w:tblStyle w:val="TableGrid5"/>
        <w:tblW w:w="5000" w:type="pct"/>
        <w:tblLayout w:type="fixed"/>
        <w:tblLook w:val="04A0" w:firstRow="1" w:lastRow="0" w:firstColumn="1" w:lastColumn="0" w:noHBand="0" w:noVBand="1"/>
      </w:tblPr>
      <w:tblGrid>
        <w:gridCol w:w="1802"/>
        <w:gridCol w:w="4997"/>
        <w:gridCol w:w="2217"/>
      </w:tblGrid>
      <w:tr w:rsidR="00914890" w:rsidRPr="00AB59DA" w:rsidTr="00914890">
        <w:trPr>
          <w:tblHeader/>
        </w:trPr>
        <w:tc>
          <w:tcPr>
            <w:tcW w:w="1802"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rPr>
                <w:rFonts w:ascii="Arial" w:hAnsi="Arial" w:cs="Arial"/>
                <w:b/>
                <w:sz w:val="24"/>
                <w:szCs w:val="24"/>
              </w:rPr>
            </w:pPr>
            <w:r w:rsidRPr="00AB59DA">
              <w:rPr>
                <w:rFonts w:ascii="Arial" w:hAnsi="Arial" w:cs="Arial"/>
                <w:b/>
                <w:sz w:val="24"/>
                <w:szCs w:val="24"/>
              </w:rPr>
              <w:t xml:space="preserve">Risk </w:t>
            </w:r>
          </w:p>
        </w:tc>
        <w:tc>
          <w:tcPr>
            <w:tcW w:w="4997"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rPr>
                <w:rFonts w:ascii="Arial" w:hAnsi="Arial" w:cs="Arial"/>
                <w:b/>
                <w:sz w:val="24"/>
                <w:szCs w:val="24"/>
              </w:rPr>
            </w:pPr>
            <w:r w:rsidRPr="00AB59DA">
              <w:rPr>
                <w:rFonts w:ascii="Arial" w:hAnsi="Arial" w:cs="Arial"/>
                <w:b/>
                <w:sz w:val="24"/>
                <w:szCs w:val="24"/>
              </w:rPr>
              <w:t xml:space="preserve">Mitigation/response </w:t>
            </w:r>
          </w:p>
        </w:tc>
        <w:tc>
          <w:tcPr>
            <w:tcW w:w="2217"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b/>
                <w:sz w:val="24"/>
                <w:szCs w:val="24"/>
              </w:rPr>
            </w:pPr>
            <w:r w:rsidRPr="00AB59DA">
              <w:rPr>
                <w:rFonts w:ascii="Arial" w:hAnsi="Arial" w:cs="Arial"/>
                <w:b/>
                <w:sz w:val="24"/>
                <w:szCs w:val="24"/>
              </w:rPr>
              <w:t>Update</w:t>
            </w:r>
          </w:p>
        </w:tc>
      </w:tr>
      <w:tr w:rsidR="00914890" w:rsidRPr="00AB59DA" w:rsidTr="00914890">
        <w:tc>
          <w:tcPr>
            <w:tcW w:w="1802"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b/>
                <w:sz w:val="24"/>
                <w:szCs w:val="24"/>
              </w:rPr>
            </w:pPr>
            <w:r w:rsidRPr="00AB59DA">
              <w:rPr>
                <w:rFonts w:ascii="Arial" w:hAnsi="Arial" w:cs="Arial"/>
                <w:b/>
                <w:sz w:val="24"/>
                <w:szCs w:val="24"/>
              </w:rPr>
              <w:t>Changes to or lack of  Planning Framework to support City Deal objectives</w:t>
            </w:r>
          </w:p>
          <w:p w:rsidR="00914890" w:rsidRPr="00AB59DA" w:rsidRDefault="00914890" w:rsidP="003C118F">
            <w:pPr>
              <w:rPr>
                <w:rFonts w:ascii="Arial" w:hAnsi="Arial" w:cs="Arial"/>
                <w:b/>
                <w:sz w:val="24"/>
                <w:szCs w:val="24"/>
              </w:rPr>
            </w:pPr>
          </w:p>
        </w:tc>
        <w:tc>
          <w:tcPr>
            <w:tcW w:w="4997"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sz w:val="24"/>
                <w:szCs w:val="24"/>
              </w:rPr>
            </w:pPr>
            <w:r w:rsidRPr="00AB59DA">
              <w:rPr>
                <w:rFonts w:ascii="Arial" w:hAnsi="Arial" w:cs="Arial"/>
                <w:sz w:val="24"/>
                <w:szCs w:val="24"/>
              </w:rPr>
              <w:t>The City Deal area is supported by a Central Lancashire Core Strategy (2010-2026) that provides an over- arching development and planning framework, with a Local Plan for each of Preston and South Ribble offering more detailed policy on sites. The Community Infrastructure Levy is now in place.</w:t>
            </w:r>
          </w:p>
          <w:p w:rsidR="00914890" w:rsidRPr="00AB59DA" w:rsidRDefault="00914890" w:rsidP="003C118F">
            <w:pPr>
              <w:rPr>
                <w:rFonts w:ascii="Arial" w:hAnsi="Arial" w:cs="Arial"/>
                <w:sz w:val="24"/>
                <w:szCs w:val="24"/>
              </w:rPr>
            </w:pPr>
          </w:p>
          <w:p w:rsidR="00914890" w:rsidRPr="00AB59DA" w:rsidRDefault="00914890" w:rsidP="003C118F">
            <w:pPr>
              <w:rPr>
                <w:rFonts w:ascii="Arial" w:hAnsi="Arial" w:cs="Arial"/>
                <w:sz w:val="24"/>
                <w:szCs w:val="24"/>
              </w:rPr>
            </w:pPr>
            <w:r w:rsidRPr="00AB59DA">
              <w:rPr>
                <w:rFonts w:ascii="Arial" w:hAnsi="Arial" w:cs="Arial"/>
                <w:sz w:val="24"/>
                <w:szCs w:val="24"/>
              </w:rPr>
              <w:t>North West Preston development sites are covered by a Masterplan that was approved in February 2014, and which provides a comprehensive framework to</w:t>
            </w:r>
          </w:p>
          <w:p w:rsidR="00914890" w:rsidRPr="00AB59DA" w:rsidRDefault="00914890" w:rsidP="003C118F">
            <w:pPr>
              <w:ind w:left="720" w:hanging="720"/>
              <w:rPr>
                <w:rFonts w:ascii="Arial" w:hAnsi="Arial" w:cs="Arial"/>
                <w:sz w:val="24"/>
                <w:szCs w:val="24"/>
              </w:rPr>
            </w:pPr>
            <w:proofErr w:type="gramStart"/>
            <w:r w:rsidRPr="00AB59DA">
              <w:rPr>
                <w:rFonts w:ascii="Arial" w:hAnsi="Arial" w:cs="Arial"/>
                <w:sz w:val="24"/>
                <w:szCs w:val="24"/>
              </w:rPr>
              <w:t>guide</w:t>
            </w:r>
            <w:proofErr w:type="gramEnd"/>
            <w:r w:rsidRPr="00AB59DA">
              <w:rPr>
                <w:rFonts w:ascii="Arial" w:hAnsi="Arial" w:cs="Arial"/>
                <w:sz w:val="24"/>
                <w:szCs w:val="24"/>
              </w:rPr>
              <w:t xml:space="preserve"> the development process. </w:t>
            </w:r>
          </w:p>
          <w:p w:rsidR="00914890" w:rsidRPr="00AB59DA" w:rsidRDefault="00914890" w:rsidP="003C118F">
            <w:pPr>
              <w:ind w:left="720" w:hanging="720"/>
              <w:rPr>
                <w:rFonts w:ascii="Arial" w:hAnsi="Arial" w:cs="Arial"/>
                <w:sz w:val="24"/>
                <w:szCs w:val="24"/>
              </w:rPr>
            </w:pPr>
          </w:p>
          <w:p w:rsidR="00914890" w:rsidRPr="00AB59DA" w:rsidRDefault="00914890" w:rsidP="003C118F">
            <w:pPr>
              <w:ind w:left="34" w:hanging="34"/>
              <w:rPr>
                <w:rFonts w:ascii="Arial" w:hAnsi="Arial" w:cs="Arial"/>
                <w:sz w:val="24"/>
                <w:szCs w:val="24"/>
              </w:rPr>
            </w:pPr>
            <w:r w:rsidRPr="00AB59DA">
              <w:rPr>
                <w:rFonts w:ascii="Arial" w:hAnsi="Arial" w:cs="Arial"/>
                <w:sz w:val="24"/>
                <w:szCs w:val="24"/>
              </w:rPr>
              <w:t>A City Centre Action Plan covering a range of commercial sites has been prepared and submitted for examination</w:t>
            </w:r>
          </w:p>
          <w:p w:rsidR="00914890" w:rsidRPr="00AB59DA" w:rsidRDefault="00914890" w:rsidP="003C118F">
            <w:pPr>
              <w:rPr>
                <w:rFonts w:ascii="Arial" w:hAnsi="Arial" w:cs="Arial"/>
                <w:b/>
                <w:sz w:val="24"/>
                <w:szCs w:val="24"/>
              </w:rPr>
            </w:pPr>
            <w:r w:rsidRPr="00AB59DA">
              <w:rPr>
                <w:rFonts w:ascii="Arial" w:hAnsi="Arial" w:cs="Arial"/>
                <w:sz w:val="24"/>
                <w:szCs w:val="24"/>
              </w:rPr>
              <w:t xml:space="preserve"> Other site masterplans have also been prepared for a number of large sites. </w:t>
            </w:r>
          </w:p>
        </w:tc>
        <w:tc>
          <w:tcPr>
            <w:tcW w:w="2217"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sz w:val="24"/>
                <w:szCs w:val="24"/>
              </w:rPr>
            </w:pPr>
            <w:r w:rsidRPr="00AB59DA">
              <w:rPr>
                <w:rFonts w:ascii="Arial" w:hAnsi="Arial" w:cs="Arial"/>
                <w:sz w:val="24"/>
                <w:szCs w:val="24"/>
              </w:rPr>
              <w:t xml:space="preserve">Masterplans are being developed for </w:t>
            </w:r>
            <w:proofErr w:type="spellStart"/>
            <w:r w:rsidRPr="00AB59DA">
              <w:rPr>
                <w:rFonts w:ascii="Arial" w:hAnsi="Arial" w:cs="Arial"/>
                <w:sz w:val="24"/>
                <w:szCs w:val="24"/>
              </w:rPr>
              <w:t>Pickerings</w:t>
            </w:r>
            <w:proofErr w:type="spellEnd"/>
            <w:r w:rsidRPr="00AB59DA">
              <w:rPr>
                <w:rFonts w:ascii="Arial" w:hAnsi="Arial" w:cs="Arial"/>
                <w:sz w:val="24"/>
                <w:szCs w:val="24"/>
              </w:rPr>
              <w:t xml:space="preserve"> Farm and Moss Side Test Track</w:t>
            </w:r>
          </w:p>
          <w:p w:rsidR="00914890" w:rsidRPr="00AB59DA" w:rsidRDefault="00914890" w:rsidP="003C118F">
            <w:pPr>
              <w:rPr>
                <w:rFonts w:ascii="Arial" w:hAnsi="Arial" w:cs="Arial"/>
                <w:sz w:val="24"/>
                <w:szCs w:val="24"/>
              </w:rPr>
            </w:pPr>
          </w:p>
          <w:p w:rsidR="00914890" w:rsidRPr="00AB59DA" w:rsidRDefault="00914890" w:rsidP="003C118F">
            <w:pPr>
              <w:rPr>
                <w:rFonts w:ascii="Arial" w:hAnsi="Arial" w:cs="Arial"/>
                <w:sz w:val="24"/>
                <w:szCs w:val="24"/>
              </w:rPr>
            </w:pPr>
            <w:r w:rsidRPr="00AB59DA">
              <w:rPr>
                <w:rFonts w:ascii="Arial" w:hAnsi="Arial" w:cs="Arial"/>
                <w:sz w:val="24"/>
                <w:szCs w:val="24"/>
              </w:rPr>
              <w:t>The masterplan for North West Preston has now been adopted.</w:t>
            </w:r>
          </w:p>
        </w:tc>
      </w:tr>
      <w:tr w:rsidR="00914890" w:rsidRPr="00AB59DA" w:rsidTr="00914890">
        <w:trPr>
          <w:trHeight w:val="2340"/>
        </w:trPr>
        <w:tc>
          <w:tcPr>
            <w:tcW w:w="1802" w:type="dxa"/>
            <w:tcBorders>
              <w:top w:val="single" w:sz="4" w:space="0" w:color="auto"/>
              <w:left w:val="single" w:sz="4" w:space="0" w:color="auto"/>
              <w:right w:val="single" w:sz="4" w:space="0" w:color="auto"/>
            </w:tcBorders>
          </w:tcPr>
          <w:p w:rsidR="00914890" w:rsidRPr="00AB59DA" w:rsidRDefault="00914890" w:rsidP="003C118F">
            <w:pPr>
              <w:rPr>
                <w:rFonts w:ascii="Arial" w:hAnsi="Arial" w:cs="Arial"/>
                <w:b/>
                <w:sz w:val="24"/>
                <w:szCs w:val="24"/>
              </w:rPr>
            </w:pPr>
            <w:r w:rsidRPr="00AB59DA">
              <w:rPr>
                <w:rFonts w:ascii="Arial" w:hAnsi="Arial" w:cs="Arial"/>
                <w:b/>
                <w:sz w:val="24"/>
                <w:szCs w:val="24"/>
              </w:rPr>
              <w:t>Planning permissions not being consented and/or progressed through the planning system sufficiently quickly</w:t>
            </w:r>
          </w:p>
        </w:tc>
        <w:tc>
          <w:tcPr>
            <w:tcW w:w="4997" w:type="dxa"/>
            <w:tcBorders>
              <w:top w:val="single" w:sz="4" w:space="0" w:color="auto"/>
              <w:left w:val="single" w:sz="4" w:space="0" w:color="auto"/>
              <w:right w:val="single" w:sz="4" w:space="0" w:color="auto"/>
            </w:tcBorders>
          </w:tcPr>
          <w:p w:rsidR="00914890" w:rsidRPr="00AB59DA" w:rsidRDefault="00914890" w:rsidP="003C118F">
            <w:pPr>
              <w:rPr>
                <w:rFonts w:ascii="Arial" w:hAnsi="Arial" w:cs="Arial"/>
                <w:sz w:val="24"/>
                <w:szCs w:val="24"/>
              </w:rPr>
            </w:pPr>
            <w:r w:rsidRPr="00AB59DA">
              <w:rPr>
                <w:rFonts w:ascii="Arial" w:hAnsi="Arial" w:cs="Arial"/>
                <w:sz w:val="24"/>
                <w:szCs w:val="24"/>
              </w:rPr>
              <w:t xml:space="preserve">Planning consents are already in place for over a third of the housing planning permissions, and 10 year targets have been reviewed and updated which will enable an efficient and manageable processing of future planning submissions avoiding any unnecessary delays. </w:t>
            </w:r>
          </w:p>
          <w:p w:rsidR="00914890" w:rsidRPr="00AB59DA" w:rsidRDefault="00914890" w:rsidP="003C118F">
            <w:pPr>
              <w:rPr>
                <w:rFonts w:ascii="Arial" w:hAnsi="Arial" w:cs="Arial"/>
                <w:sz w:val="24"/>
                <w:szCs w:val="24"/>
              </w:rPr>
            </w:pPr>
          </w:p>
          <w:p w:rsidR="00914890" w:rsidRPr="00AB59DA" w:rsidRDefault="00914890" w:rsidP="003C118F">
            <w:pPr>
              <w:rPr>
                <w:rFonts w:ascii="Arial" w:hAnsi="Arial" w:cs="Arial"/>
                <w:sz w:val="24"/>
                <w:szCs w:val="24"/>
              </w:rPr>
            </w:pPr>
            <w:r w:rsidRPr="00AB59DA">
              <w:rPr>
                <w:rFonts w:ascii="Arial" w:hAnsi="Arial" w:cs="Arial"/>
                <w:sz w:val="24"/>
                <w:szCs w:val="24"/>
              </w:rPr>
              <w:t>Milestones are in place for all housing and commercial sites in order to help monitor progress through the planning system and resolve any planning related matters.</w:t>
            </w:r>
          </w:p>
          <w:p w:rsidR="00914890" w:rsidRPr="00AB59DA" w:rsidRDefault="00914890" w:rsidP="003C118F">
            <w:pPr>
              <w:rPr>
                <w:rFonts w:ascii="Arial" w:hAnsi="Arial" w:cs="Arial"/>
                <w:sz w:val="24"/>
                <w:szCs w:val="24"/>
              </w:rPr>
            </w:pPr>
          </w:p>
          <w:p w:rsidR="00914890" w:rsidRPr="00AB59DA" w:rsidRDefault="00914890" w:rsidP="003C118F">
            <w:pPr>
              <w:rPr>
                <w:rFonts w:ascii="Arial" w:hAnsi="Arial" w:cs="Arial"/>
                <w:sz w:val="24"/>
                <w:szCs w:val="24"/>
              </w:rPr>
            </w:pPr>
            <w:r w:rsidRPr="00AB59DA">
              <w:rPr>
                <w:rFonts w:ascii="Arial" w:hAnsi="Arial" w:cs="Arial"/>
                <w:sz w:val="24"/>
                <w:szCs w:val="24"/>
              </w:rPr>
              <w:t xml:space="preserve">The new Development Sites Delivery Group has a focus on identifying issues in the development process and identifying solutions in order to progress all large </w:t>
            </w:r>
            <w:r w:rsidRPr="00AB59DA">
              <w:rPr>
                <w:rFonts w:ascii="Arial" w:hAnsi="Arial" w:cs="Arial"/>
                <w:sz w:val="24"/>
                <w:szCs w:val="24"/>
              </w:rPr>
              <w:lastRenderedPageBreak/>
              <w:t>housing sites. An issues log is now in place for all key sites with responses and actions being formulated.</w:t>
            </w:r>
          </w:p>
          <w:p w:rsidR="00914890" w:rsidRPr="00AB59DA" w:rsidRDefault="00914890" w:rsidP="003C118F">
            <w:pPr>
              <w:rPr>
                <w:rFonts w:ascii="Arial" w:hAnsi="Arial" w:cs="Arial"/>
                <w:sz w:val="24"/>
                <w:szCs w:val="24"/>
              </w:rPr>
            </w:pPr>
          </w:p>
          <w:p w:rsidR="00914890" w:rsidRPr="00AB59DA" w:rsidRDefault="00914890" w:rsidP="003C118F">
            <w:pPr>
              <w:rPr>
                <w:rFonts w:ascii="Arial" w:hAnsi="Arial" w:cs="Arial"/>
                <w:sz w:val="24"/>
                <w:szCs w:val="24"/>
              </w:rPr>
            </w:pPr>
          </w:p>
          <w:p w:rsidR="00914890" w:rsidRPr="00AB59DA" w:rsidRDefault="00914890" w:rsidP="003C118F">
            <w:pPr>
              <w:rPr>
                <w:rFonts w:ascii="Arial" w:hAnsi="Arial" w:cs="Arial"/>
                <w:sz w:val="24"/>
                <w:szCs w:val="24"/>
              </w:rPr>
            </w:pPr>
          </w:p>
        </w:tc>
        <w:tc>
          <w:tcPr>
            <w:tcW w:w="2217" w:type="dxa"/>
            <w:tcBorders>
              <w:top w:val="single" w:sz="4" w:space="0" w:color="auto"/>
              <w:left w:val="single" w:sz="4" w:space="0" w:color="auto"/>
              <w:right w:val="single" w:sz="4" w:space="0" w:color="auto"/>
            </w:tcBorders>
          </w:tcPr>
          <w:p w:rsidR="00914890" w:rsidRPr="00AB59DA" w:rsidRDefault="00914890" w:rsidP="003C118F">
            <w:pPr>
              <w:rPr>
                <w:rFonts w:ascii="Arial" w:hAnsi="Arial" w:cs="Arial"/>
                <w:sz w:val="24"/>
                <w:szCs w:val="24"/>
              </w:rPr>
            </w:pPr>
          </w:p>
          <w:p w:rsidR="00914890" w:rsidRPr="00AB59DA" w:rsidRDefault="00914890" w:rsidP="003C118F">
            <w:pPr>
              <w:rPr>
                <w:rFonts w:ascii="Arial" w:hAnsi="Arial" w:cs="Arial"/>
                <w:sz w:val="24"/>
                <w:szCs w:val="24"/>
              </w:rPr>
            </w:pPr>
          </w:p>
        </w:tc>
      </w:tr>
      <w:tr w:rsidR="00914890" w:rsidRPr="00AB59DA" w:rsidTr="00914890">
        <w:trPr>
          <w:trHeight w:val="1230"/>
        </w:trPr>
        <w:tc>
          <w:tcPr>
            <w:tcW w:w="1802" w:type="dxa"/>
            <w:tcBorders>
              <w:top w:val="single" w:sz="4" w:space="0" w:color="auto"/>
              <w:left w:val="single" w:sz="4" w:space="0" w:color="auto"/>
              <w:right w:val="single" w:sz="4" w:space="0" w:color="auto"/>
            </w:tcBorders>
          </w:tcPr>
          <w:p w:rsidR="00914890" w:rsidRPr="00AB59DA" w:rsidRDefault="00914890" w:rsidP="003C118F">
            <w:pPr>
              <w:rPr>
                <w:rFonts w:ascii="Arial" w:hAnsi="Arial" w:cs="Arial"/>
                <w:b/>
                <w:sz w:val="24"/>
                <w:szCs w:val="24"/>
              </w:rPr>
            </w:pPr>
            <w:r w:rsidRPr="00AB59DA">
              <w:rPr>
                <w:rFonts w:ascii="Arial" w:hAnsi="Arial" w:cs="Arial"/>
                <w:b/>
                <w:sz w:val="24"/>
                <w:szCs w:val="24"/>
              </w:rPr>
              <w:t>Lack of planning officer capacity</w:t>
            </w:r>
          </w:p>
        </w:tc>
        <w:tc>
          <w:tcPr>
            <w:tcW w:w="4997"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ind w:left="33"/>
              <w:rPr>
                <w:rFonts w:ascii="Arial" w:hAnsi="Arial" w:cs="Arial"/>
                <w:sz w:val="24"/>
                <w:szCs w:val="24"/>
              </w:rPr>
            </w:pPr>
            <w:r w:rsidRPr="00AB59DA">
              <w:rPr>
                <w:rFonts w:ascii="Arial" w:hAnsi="Arial" w:cs="Arial"/>
                <w:sz w:val="24"/>
                <w:szCs w:val="24"/>
              </w:rPr>
              <w:t xml:space="preserve">Housing Zone status has also been established for sites in Preston City Centre that cover c750 units, and will enable progress. </w:t>
            </w:r>
          </w:p>
          <w:p w:rsidR="00914890" w:rsidRPr="00AB59DA" w:rsidRDefault="00914890" w:rsidP="003C118F">
            <w:pPr>
              <w:ind w:left="720" w:hanging="720"/>
              <w:rPr>
                <w:rFonts w:ascii="Arial" w:hAnsi="Arial" w:cs="Arial"/>
                <w:sz w:val="24"/>
                <w:szCs w:val="24"/>
              </w:rPr>
            </w:pPr>
          </w:p>
          <w:p w:rsidR="00914890" w:rsidRPr="00AB59DA" w:rsidRDefault="00914890" w:rsidP="003C118F">
            <w:pPr>
              <w:ind w:left="33" w:hanging="33"/>
              <w:rPr>
                <w:rFonts w:ascii="Arial" w:hAnsi="Arial" w:cs="Arial"/>
                <w:sz w:val="24"/>
                <w:szCs w:val="24"/>
              </w:rPr>
            </w:pPr>
            <w:r w:rsidRPr="00AB59DA">
              <w:rPr>
                <w:rFonts w:ascii="Arial" w:hAnsi="Arial" w:cs="Arial"/>
                <w:sz w:val="24"/>
                <w:szCs w:val="24"/>
              </w:rPr>
              <w:t xml:space="preserve">As per above, capacity issues have been identified, in particular in specialist areas, which are subject to consideration </w:t>
            </w:r>
            <w:proofErr w:type="spellStart"/>
            <w:r>
              <w:rPr>
                <w:rFonts w:ascii="Arial" w:hAnsi="Arial" w:cs="Arial"/>
                <w:sz w:val="24"/>
                <w:szCs w:val="24"/>
              </w:rPr>
              <w:t>s</w:t>
            </w:r>
            <w:proofErr w:type="spellEnd"/>
            <w:r>
              <w:rPr>
                <w:rFonts w:ascii="Arial" w:hAnsi="Arial" w:cs="Arial"/>
                <w:sz w:val="24"/>
                <w:szCs w:val="24"/>
              </w:rPr>
              <w:t xml:space="preserve"> part of the City Deal review.</w:t>
            </w:r>
          </w:p>
        </w:tc>
        <w:tc>
          <w:tcPr>
            <w:tcW w:w="2217"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jc w:val="both"/>
              <w:rPr>
                <w:rFonts w:ascii="Arial" w:hAnsi="Arial" w:cs="Arial"/>
                <w:sz w:val="24"/>
                <w:szCs w:val="24"/>
              </w:rPr>
            </w:pPr>
            <w:r w:rsidRPr="00AB59DA">
              <w:rPr>
                <w:rFonts w:ascii="Arial" w:hAnsi="Arial" w:cs="Arial"/>
                <w:sz w:val="24"/>
                <w:szCs w:val="24"/>
              </w:rPr>
              <w:t>A Preston Housing Zone Programme Manager has been appointed</w:t>
            </w:r>
          </w:p>
        </w:tc>
      </w:tr>
      <w:tr w:rsidR="00914890" w:rsidRPr="00AB59DA" w:rsidTr="00914890">
        <w:tc>
          <w:tcPr>
            <w:tcW w:w="1802"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rPr>
                <w:rFonts w:ascii="Arial" w:hAnsi="Arial" w:cs="Arial"/>
                <w:b/>
                <w:sz w:val="24"/>
                <w:szCs w:val="24"/>
              </w:rPr>
            </w:pPr>
            <w:r w:rsidRPr="00AB59DA">
              <w:rPr>
                <w:rFonts w:ascii="Arial" w:hAnsi="Arial" w:cs="Arial"/>
                <w:b/>
                <w:sz w:val="24"/>
                <w:szCs w:val="24"/>
              </w:rPr>
              <w:t xml:space="preserve">Failure to provide sufficient and appropriate infrastructure </w:t>
            </w:r>
          </w:p>
        </w:tc>
        <w:tc>
          <w:tcPr>
            <w:tcW w:w="4997"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rPr>
                <w:rFonts w:ascii="Arial" w:hAnsi="Arial" w:cs="Arial"/>
                <w:sz w:val="24"/>
                <w:szCs w:val="24"/>
              </w:rPr>
            </w:pPr>
            <w:r w:rsidRPr="00AB59DA">
              <w:rPr>
                <w:rFonts w:ascii="Arial" w:hAnsi="Arial" w:cs="Arial"/>
                <w:sz w:val="24"/>
                <w:szCs w:val="24"/>
              </w:rPr>
              <w:t>A North West Preston Infrastructure Group has been established with the major house builders and land-owners to co-ordinate development and resolve land equalisation matters.</w:t>
            </w:r>
          </w:p>
        </w:tc>
        <w:tc>
          <w:tcPr>
            <w:tcW w:w="2217"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ind w:left="720" w:hanging="720"/>
              <w:rPr>
                <w:rFonts w:ascii="Arial" w:hAnsi="Arial" w:cs="Arial"/>
                <w:sz w:val="24"/>
                <w:szCs w:val="24"/>
              </w:rPr>
            </w:pPr>
          </w:p>
        </w:tc>
      </w:tr>
      <w:tr w:rsidR="00914890" w:rsidRPr="00AB59DA" w:rsidTr="00914890">
        <w:tc>
          <w:tcPr>
            <w:tcW w:w="1802"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b/>
                <w:sz w:val="24"/>
                <w:szCs w:val="24"/>
              </w:rPr>
            </w:pPr>
            <w:r w:rsidRPr="00AB59DA">
              <w:rPr>
                <w:rFonts w:ascii="Arial" w:hAnsi="Arial" w:cs="Arial"/>
                <w:b/>
                <w:sz w:val="24"/>
                <w:szCs w:val="24"/>
              </w:rPr>
              <w:t xml:space="preserve">Future housing numbers           </w:t>
            </w:r>
            <w:r w:rsidRPr="00AB59DA">
              <w:rPr>
                <w:rFonts w:ascii="Arial" w:hAnsi="Arial" w:cs="Arial"/>
                <w:sz w:val="24"/>
                <w:szCs w:val="24"/>
              </w:rPr>
              <w:t>GL Hearn Strategic Housing market assessment and OAN – issue around how this relates to City Deal Trajectory</w:t>
            </w:r>
          </w:p>
        </w:tc>
        <w:tc>
          <w:tcPr>
            <w:tcW w:w="4997"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sz w:val="24"/>
                <w:szCs w:val="24"/>
              </w:rPr>
            </w:pPr>
            <w:r w:rsidRPr="00AB59DA">
              <w:rPr>
                <w:rFonts w:ascii="Arial" w:hAnsi="Arial" w:cs="Arial"/>
                <w:sz w:val="24"/>
                <w:szCs w:val="24"/>
              </w:rPr>
              <w:t>Officers are preparing and City Deal/LEP response to the GL Hearn work, this was submitted to government on 9 November.</w:t>
            </w:r>
          </w:p>
        </w:tc>
        <w:tc>
          <w:tcPr>
            <w:tcW w:w="2217"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ind w:left="720" w:hanging="720"/>
              <w:rPr>
                <w:rFonts w:ascii="Arial" w:hAnsi="Arial" w:cs="Arial"/>
                <w:b/>
                <w:sz w:val="24"/>
                <w:szCs w:val="24"/>
              </w:rPr>
            </w:pPr>
            <w:r w:rsidRPr="00AB59DA">
              <w:rPr>
                <w:rFonts w:ascii="Arial" w:hAnsi="Arial" w:cs="Arial"/>
                <w:b/>
                <w:sz w:val="24"/>
                <w:szCs w:val="24"/>
              </w:rPr>
              <w:t>New risk</w:t>
            </w:r>
          </w:p>
        </w:tc>
      </w:tr>
    </w:tbl>
    <w:p w:rsidR="00914890" w:rsidRPr="00AB59DA" w:rsidRDefault="00914890" w:rsidP="003C118F">
      <w:pPr>
        <w:spacing w:after="0" w:line="240" w:lineRule="auto"/>
        <w:ind w:firstLine="720"/>
        <w:rPr>
          <w:rFonts w:ascii="Arial" w:hAnsi="Arial" w:cs="Arial"/>
          <w:sz w:val="24"/>
          <w:szCs w:val="24"/>
        </w:rPr>
      </w:pPr>
    </w:p>
    <w:p w:rsidR="00914890" w:rsidRDefault="00914890" w:rsidP="003C118F">
      <w:pPr>
        <w:spacing w:after="0" w:line="240" w:lineRule="auto"/>
        <w:rPr>
          <w:rFonts w:ascii="Arial" w:hAnsi="Arial" w:cs="Arial"/>
          <w:b/>
          <w:sz w:val="24"/>
          <w:szCs w:val="24"/>
          <w:u w:val="single"/>
        </w:rPr>
      </w:pPr>
    </w:p>
    <w:p w:rsidR="003C118F" w:rsidRDefault="003C118F" w:rsidP="003C118F">
      <w:pPr>
        <w:spacing w:after="0" w:line="240" w:lineRule="auto"/>
        <w:rPr>
          <w:rFonts w:ascii="Arial" w:hAnsi="Arial" w:cs="Arial"/>
          <w:b/>
          <w:sz w:val="24"/>
          <w:szCs w:val="24"/>
          <w:u w:val="single"/>
        </w:rPr>
      </w:pPr>
    </w:p>
    <w:p w:rsidR="003C118F" w:rsidRDefault="003C118F" w:rsidP="003C118F">
      <w:pPr>
        <w:spacing w:after="0" w:line="240" w:lineRule="auto"/>
        <w:rPr>
          <w:rFonts w:ascii="Arial" w:hAnsi="Arial" w:cs="Arial"/>
          <w:b/>
          <w:sz w:val="24"/>
          <w:szCs w:val="24"/>
          <w:u w:val="single"/>
        </w:rPr>
      </w:pPr>
    </w:p>
    <w:p w:rsidR="003C118F" w:rsidRDefault="003C118F" w:rsidP="003C118F">
      <w:pPr>
        <w:spacing w:after="0" w:line="240" w:lineRule="auto"/>
        <w:rPr>
          <w:rFonts w:ascii="Arial" w:hAnsi="Arial" w:cs="Arial"/>
          <w:b/>
          <w:sz w:val="24"/>
          <w:szCs w:val="24"/>
          <w:u w:val="single"/>
        </w:rPr>
      </w:pPr>
    </w:p>
    <w:p w:rsidR="003C118F" w:rsidRDefault="003C118F" w:rsidP="003C118F">
      <w:pPr>
        <w:spacing w:after="0" w:line="240" w:lineRule="auto"/>
        <w:rPr>
          <w:rFonts w:ascii="Arial" w:hAnsi="Arial" w:cs="Arial"/>
          <w:b/>
          <w:sz w:val="24"/>
          <w:szCs w:val="24"/>
          <w:u w:val="single"/>
        </w:rPr>
      </w:pPr>
    </w:p>
    <w:p w:rsidR="003C118F" w:rsidRDefault="003C118F" w:rsidP="003C118F">
      <w:pPr>
        <w:spacing w:after="0" w:line="240" w:lineRule="auto"/>
        <w:rPr>
          <w:rFonts w:ascii="Arial" w:hAnsi="Arial" w:cs="Arial"/>
          <w:b/>
          <w:sz w:val="24"/>
          <w:szCs w:val="24"/>
          <w:u w:val="single"/>
        </w:rPr>
      </w:pPr>
    </w:p>
    <w:p w:rsidR="003C118F" w:rsidRDefault="003C118F" w:rsidP="003C118F">
      <w:pPr>
        <w:spacing w:after="0" w:line="240" w:lineRule="auto"/>
        <w:rPr>
          <w:rFonts w:ascii="Arial" w:hAnsi="Arial" w:cs="Arial"/>
          <w:b/>
          <w:sz w:val="24"/>
          <w:szCs w:val="24"/>
          <w:u w:val="single"/>
        </w:rPr>
      </w:pPr>
    </w:p>
    <w:p w:rsidR="003C118F" w:rsidRPr="00AB59DA" w:rsidRDefault="003C118F" w:rsidP="003C118F">
      <w:pPr>
        <w:spacing w:after="0" w:line="240" w:lineRule="auto"/>
        <w:rPr>
          <w:rFonts w:ascii="Arial" w:hAnsi="Arial" w:cs="Arial"/>
          <w:b/>
          <w:sz w:val="24"/>
          <w:szCs w:val="24"/>
          <w:u w:val="single"/>
        </w:rPr>
      </w:pPr>
    </w:p>
    <w:p w:rsidR="00914890" w:rsidRPr="00AB59DA" w:rsidRDefault="00914890" w:rsidP="003C118F">
      <w:pPr>
        <w:spacing w:after="0" w:line="240" w:lineRule="auto"/>
        <w:rPr>
          <w:rFonts w:ascii="Arial" w:hAnsi="Arial" w:cs="Arial"/>
          <w:b/>
          <w:sz w:val="24"/>
          <w:szCs w:val="24"/>
          <w:u w:val="single"/>
        </w:rPr>
      </w:pPr>
      <w:r w:rsidRPr="00AB59DA">
        <w:rPr>
          <w:rFonts w:ascii="Arial" w:hAnsi="Arial" w:cs="Arial"/>
          <w:b/>
          <w:sz w:val="24"/>
          <w:szCs w:val="24"/>
          <w:u w:val="single"/>
        </w:rPr>
        <w:lastRenderedPageBreak/>
        <w:t>Commercial risks</w:t>
      </w:r>
    </w:p>
    <w:p w:rsidR="00914890" w:rsidRPr="00AB59DA" w:rsidRDefault="00914890" w:rsidP="003C118F">
      <w:pPr>
        <w:spacing w:after="0" w:line="240" w:lineRule="auto"/>
        <w:ind w:firstLine="720"/>
        <w:rPr>
          <w:rFonts w:ascii="Arial" w:hAnsi="Arial" w:cs="Arial"/>
          <w:sz w:val="24"/>
          <w:szCs w:val="24"/>
          <w:u w:val="single"/>
        </w:rPr>
      </w:pPr>
    </w:p>
    <w:tbl>
      <w:tblPr>
        <w:tblStyle w:val="TableGrid5"/>
        <w:tblW w:w="5000" w:type="pct"/>
        <w:tblLook w:val="04A0" w:firstRow="1" w:lastRow="0" w:firstColumn="1" w:lastColumn="0" w:noHBand="0" w:noVBand="1"/>
      </w:tblPr>
      <w:tblGrid>
        <w:gridCol w:w="1831"/>
        <w:gridCol w:w="5110"/>
        <w:gridCol w:w="2075"/>
      </w:tblGrid>
      <w:tr w:rsidR="00914890" w:rsidRPr="00AB59DA" w:rsidTr="00914890">
        <w:trPr>
          <w:tblHeader/>
        </w:trPr>
        <w:tc>
          <w:tcPr>
            <w:tcW w:w="1831"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rPr>
                <w:rFonts w:ascii="Arial" w:hAnsi="Arial" w:cs="Arial"/>
                <w:b/>
                <w:sz w:val="24"/>
                <w:szCs w:val="24"/>
              </w:rPr>
            </w:pPr>
            <w:r w:rsidRPr="00AB59DA">
              <w:rPr>
                <w:rFonts w:ascii="Arial" w:hAnsi="Arial" w:cs="Arial"/>
                <w:b/>
                <w:sz w:val="24"/>
                <w:szCs w:val="24"/>
              </w:rPr>
              <w:t xml:space="preserve">Risk </w:t>
            </w:r>
          </w:p>
        </w:tc>
        <w:tc>
          <w:tcPr>
            <w:tcW w:w="5110"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rPr>
                <w:rFonts w:ascii="Arial" w:hAnsi="Arial" w:cs="Arial"/>
                <w:b/>
                <w:sz w:val="24"/>
                <w:szCs w:val="24"/>
              </w:rPr>
            </w:pPr>
            <w:r w:rsidRPr="00AB59DA">
              <w:rPr>
                <w:rFonts w:ascii="Arial" w:hAnsi="Arial" w:cs="Arial"/>
                <w:b/>
                <w:sz w:val="24"/>
                <w:szCs w:val="24"/>
              </w:rPr>
              <w:t xml:space="preserve">Mitigation </w:t>
            </w:r>
          </w:p>
        </w:tc>
        <w:tc>
          <w:tcPr>
            <w:tcW w:w="2075"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b/>
                <w:sz w:val="24"/>
                <w:szCs w:val="24"/>
              </w:rPr>
            </w:pPr>
            <w:r w:rsidRPr="00AB59DA">
              <w:rPr>
                <w:rFonts w:ascii="Arial" w:hAnsi="Arial" w:cs="Arial"/>
                <w:b/>
                <w:sz w:val="24"/>
                <w:szCs w:val="24"/>
              </w:rPr>
              <w:t>Update</w:t>
            </w:r>
          </w:p>
        </w:tc>
      </w:tr>
      <w:tr w:rsidR="00914890" w:rsidRPr="00AB59DA" w:rsidTr="00914890">
        <w:tc>
          <w:tcPr>
            <w:tcW w:w="1831"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b/>
                <w:sz w:val="24"/>
                <w:szCs w:val="24"/>
              </w:rPr>
            </w:pPr>
            <w:r w:rsidRPr="00AB59DA">
              <w:rPr>
                <w:rFonts w:ascii="Arial" w:hAnsi="Arial" w:cs="Arial"/>
                <w:b/>
                <w:sz w:val="24"/>
                <w:szCs w:val="24"/>
              </w:rPr>
              <w:t>Planning support</w:t>
            </w:r>
          </w:p>
        </w:tc>
        <w:tc>
          <w:tcPr>
            <w:tcW w:w="5110"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sz w:val="24"/>
                <w:szCs w:val="24"/>
              </w:rPr>
            </w:pPr>
            <w:r w:rsidRPr="00AB59DA">
              <w:rPr>
                <w:rFonts w:ascii="Arial" w:hAnsi="Arial" w:cs="Arial"/>
                <w:sz w:val="24"/>
                <w:szCs w:val="24"/>
              </w:rPr>
              <w:t xml:space="preserve">Enterprise Zone is covered by a Local Development Order, and a number of Prior Notice for Developments have been completed to allow construction start on the Training facility and Logistics facility with this facility due for completion in 2016/17. </w:t>
            </w:r>
          </w:p>
          <w:p w:rsidR="00914890" w:rsidRPr="00AB59DA" w:rsidRDefault="00914890" w:rsidP="003C118F">
            <w:pPr>
              <w:rPr>
                <w:rFonts w:ascii="Arial" w:hAnsi="Arial" w:cs="Arial"/>
                <w:sz w:val="24"/>
                <w:szCs w:val="24"/>
              </w:rPr>
            </w:pPr>
          </w:p>
          <w:p w:rsidR="00914890" w:rsidRPr="00AB59DA" w:rsidRDefault="00914890" w:rsidP="003C118F">
            <w:pPr>
              <w:rPr>
                <w:rFonts w:ascii="Arial" w:hAnsi="Arial" w:cs="Arial"/>
                <w:sz w:val="24"/>
                <w:szCs w:val="24"/>
              </w:rPr>
            </w:pPr>
            <w:proofErr w:type="spellStart"/>
            <w:r w:rsidRPr="00AB59DA">
              <w:rPr>
                <w:rFonts w:ascii="Arial" w:hAnsi="Arial" w:cs="Arial"/>
                <w:sz w:val="24"/>
                <w:szCs w:val="24"/>
              </w:rPr>
              <w:t>Cuerden</w:t>
            </w:r>
            <w:proofErr w:type="spellEnd"/>
            <w:r w:rsidRPr="00AB59DA">
              <w:rPr>
                <w:rFonts w:ascii="Arial" w:hAnsi="Arial" w:cs="Arial"/>
                <w:sz w:val="24"/>
                <w:szCs w:val="24"/>
              </w:rPr>
              <w:t xml:space="preserve"> employment site has an approved Masterplan and SRBC's Site Allocations Plan was also approved in July 2015. </w:t>
            </w:r>
          </w:p>
          <w:p w:rsidR="00914890" w:rsidRPr="00AB59DA" w:rsidRDefault="00914890" w:rsidP="003C118F">
            <w:pPr>
              <w:rPr>
                <w:rFonts w:ascii="Arial" w:hAnsi="Arial" w:cs="Arial"/>
                <w:b/>
                <w:sz w:val="24"/>
                <w:szCs w:val="24"/>
              </w:rPr>
            </w:pPr>
          </w:p>
        </w:tc>
        <w:tc>
          <w:tcPr>
            <w:tcW w:w="2075"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sz w:val="24"/>
                <w:szCs w:val="24"/>
              </w:rPr>
            </w:pPr>
            <w:proofErr w:type="spellStart"/>
            <w:r w:rsidRPr="00AB59DA">
              <w:rPr>
                <w:rFonts w:ascii="Arial" w:hAnsi="Arial" w:cs="Arial"/>
                <w:sz w:val="24"/>
                <w:szCs w:val="24"/>
              </w:rPr>
              <w:t>Cuerden</w:t>
            </w:r>
            <w:proofErr w:type="spellEnd"/>
            <w:r w:rsidRPr="00AB59DA">
              <w:rPr>
                <w:rFonts w:ascii="Arial" w:hAnsi="Arial" w:cs="Arial"/>
                <w:sz w:val="24"/>
                <w:szCs w:val="24"/>
              </w:rPr>
              <w:t xml:space="preserve"> Strategic Site planning approval is in place (subject to s106)</w:t>
            </w:r>
          </w:p>
        </w:tc>
      </w:tr>
      <w:tr w:rsidR="00914890" w:rsidRPr="00AB59DA" w:rsidTr="00914890">
        <w:tc>
          <w:tcPr>
            <w:tcW w:w="1831"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rPr>
                <w:rFonts w:ascii="Arial" w:hAnsi="Arial" w:cs="Arial"/>
                <w:b/>
                <w:sz w:val="24"/>
                <w:szCs w:val="24"/>
              </w:rPr>
            </w:pPr>
            <w:r w:rsidRPr="00AB59DA">
              <w:rPr>
                <w:rFonts w:ascii="Arial" w:hAnsi="Arial" w:cs="Arial"/>
                <w:b/>
                <w:sz w:val="24"/>
                <w:szCs w:val="24"/>
              </w:rPr>
              <w:t xml:space="preserve">Low commercial values </w:t>
            </w:r>
          </w:p>
        </w:tc>
        <w:tc>
          <w:tcPr>
            <w:tcW w:w="5110"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rPr>
                <w:rFonts w:ascii="Arial" w:hAnsi="Arial" w:cs="Arial"/>
                <w:sz w:val="24"/>
                <w:szCs w:val="24"/>
              </w:rPr>
            </w:pPr>
            <w:r w:rsidRPr="00AB59DA">
              <w:rPr>
                <w:rFonts w:ascii="Arial" w:hAnsi="Arial" w:cs="Arial"/>
                <w:sz w:val="24"/>
                <w:szCs w:val="24"/>
              </w:rPr>
              <w:t xml:space="preserve">As speculative build remains low stock continues to be reduced which is supportive of the recovery of rental values with an anticipated increase in demand. A City Deal Marketing &amp; Communications Strategy, co-ordinated with LEP-wide strategic marketing activity, will also support the increase in investor, developer and occupier demand.    </w:t>
            </w:r>
          </w:p>
        </w:tc>
        <w:tc>
          <w:tcPr>
            <w:tcW w:w="2075"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sz w:val="24"/>
                <w:szCs w:val="24"/>
              </w:rPr>
            </w:pPr>
            <w:r w:rsidRPr="00AB59DA">
              <w:rPr>
                <w:rFonts w:ascii="Arial" w:hAnsi="Arial" w:cs="Arial"/>
                <w:sz w:val="24"/>
                <w:szCs w:val="24"/>
              </w:rPr>
              <w:t xml:space="preserve">Developers are responding to low office values by developing lower construction </w:t>
            </w:r>
            <w:proofErr w:type="gramStart"/>
            <w:r w:rsidRPr="00AB59DA">
              <w:rPr>
                <w:rFonts w:ascii="Arial" w:hAnsi="Arial" w:cs="Arial"/>
                <w:sz w:val="24"/>
                <w:szCs w:val="24"/>
              </w:rPr>
              <w:t>cost  hybrid</w:t>
            </w:r>
            <w:proofErr w:type="gramEnd"/>
            <w:r w:rsidRPr="00AB59DA">
              <w:rPr>
                <w:rFonts w:ascii="Arial" w:hAnsi="Arial" w:cs="Arial"/>
                <w:sz w:val="24"/>
                <w:szCs w:val="24"/>
              </w:rPr>
              <w:t xml:space="preserve"> units (</w:t>
            </w:r>
            <w:proofErr w:type="spellStart"/>
            <w:r w:rsidRPr="00AB59DA">
              <w:rPr>
                <w:rFonts w:ascii="Arial" w:hAnsi="Arial" w:cs="Arial"/>
                <w:sz w:val="24"/>
                <w:szCs w:val="24"/>
              </w:rPr>
              <w:t>ie</w:t>
            </w:r>
            <w:proofErr w:type="spellEnd"/>
            <w:r w:rsidRPr="00AB59DA">
              <w:rPr>
                <w:rFonts w:ascii="Arial" w:hAnsi="Arial" w:cs="Arial"/>
                <w:sz w:val="24"/>
                <w:szCs w:val="24"/>
              </w:rPr>
              <w:t>. South Rings Business Park).</w:t>
            </w:r>
          </w:p>
          <w:p w:rsidR="00914890" w:rsidRPr="00AB59DA" w:rsidRDefault="00914890" w:rsidP="003C118F">
            <w:pPr>
              <w:rPr>
                <w:rFonts w:ascii="Arial" w:hAnsi="Arial" w:cs="Arial"/>
                <w:sz w:val="24"/>
                <w:szCs w:val="24"/>
              </w:rPr>
            </w:pPr>
          </w:p>
          <w:p w:rsidR="00914890" w:rsidRPr="00AB59DA" w:rsidRDefault="00914890" w:rsidP="003C118F">
            <w:pPr>
              <w:rPr>
                <w:rFonts w:ascii="Arial" w:hAnsi="Arial" w:cs="Arial"/>
                <w:sz w:val="24"/>
                <w:szCs w:val="24"/>
              </w:rPr>
            </w:pPr>
            <w:r w:rsidRPr="00AB59DA">
              <w:rPr>
                <w:rFonts w:ascii="Arial" w:hAnsi="Arial" w:cs="Arial"/>
                <w:sz w:val="24"/>
                <w:szCs w:val="24"/>
              </w:rPr>
              <w:t xml:space="preserve">Speculative industrial </w:t>
            </w:r>
            <w:proofErr w:type="gramStart"/>
            <w:r w:rsidRPr="00AB59DA">
              <w:rPr>
                <w:rFonts w:ascii="Arial" w:hAnsi="Arial" w:cs="Arial"/>
                <w:sz w:val="24"/>
                <w:szCs w:val="24"/>
              </w:rPr>
              <w:t>unit  development</w:t>
            </w:r>
            <w:proofErr w:type="gramEnd"/>
            <w:r w:rsidRPr="00AB59DA">
              <w:rPr>
                <w:rFonts w:ascii="Arial" w:hAnsi="Arial" w:cs="Arial"/>
                <w:sz w:val="24"/>
                <w:szCs w:val="24"/>
              </w:rPr>
              <w:t xml:space="preserve"> continues at Red Scar and South Rings which is a positive sign of market recovery. </w:t>
            </w:r>
          </w:p>
          <w:p w:rsidR="00914890" w:rsidRPr="00AB59DA" w:rsidRDefault="00914890" w:rsidP="003C118F">
            <w:pPr>
              <w:rPr>
                <w:rFonts w:ascii="Arial" w:hAnsi="Arial" w:cs="Arial"/>
                <w:sz w:val="24"/>
                <w:szCs w:val="24"/>
              </w:rPr>
            </w:pPr>
          </w:p>
          <w:p w:rsidR="00914890" w:rsidRPr="00AB59DA" w:rsidRDefault="00914890" w:rsidP="003C118F">
            <w:pPr>
              <w:rPr>
                <w:rFonts w:ascii="Arial" w:hAnsi="Arial" w:cs="Arial"/>
                <w:sz w:val="24"/>
                <w:szCs w:val="24"/>
              </w:rPr>
            </w:pPr>
            <w:r w:rsidRPr="00AB59DA">
              <w:rPr>
                <w:rFonts w:ascii="Arial" w:hAnsi="Arial" w:cs="Arial"/>
                <w:sz w:val="24"/>
                <w:szCs w:val="24"/>
              </w:rPr>
              <w:t xml:space="preserve">  </w:t>
            </w:r>
          </w:p>
        </w:tc>
      </w:tr>
      <w:tr w:rsidR="00914890" w:rsidRPr="00AB59DA" w:rsidTr="00914890">
        <w:tc>
          <w:tcPr>
            <w:tcW w:w="1831"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b/>
                <w:sz w:val="24"/>
                <w:szCs w:val="24"/>
              </w:rPr>
            </w:pPr>
            <w:r w:rsidRPr="00AB59DA">
              <w:rPr>
                <w:rFonts w:ascii="Arial" w:hAnsi="Arial" w:cs="Arial"/>
                <w:b/>
                <w:sz w:val="24"/>
                <w:szCs w:val="24"/>
              </w:rPr>
              <w:t>Supply phasing</w:t>
            </w:r>
          </w:p>
        </w:tc>
        <w:tc>
          <w:tcPr>
            <w:tcW w:w="5110"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sz w:val="24"/>
                <w:szCs w:val="24"/>
              </w:rPr>
            </w:pPr>
            <w:r w:rsidRPr="00AB59DA">
              <w:rPr>
                <w:rFonts w:ascii="Arial" w:hAnsi="Arial" w:cs="Arial"/>
                <w:sz w:val="24"/>
                <w:szCs w:val="24"/>
              </w:rPr>
              <w:t xml:space="preserve">Partner working groups, partnerships and alliances have been formed to share market intelligence and support the phasing of development activity to help co-ordinate sustainable development, particularly on the major employment sites.  </w:t>
            </w:r>
          </w:p>
          <w:p w:rsidR="00914890" w:rsidRPr="00AB59DA" w:rsidRDefault="00914890" w:rsidP="003C118F">
            <w:pPr>
              <w:ind w:left="720" w:hanging="720"/>
              <w:rPr>
                <w:rFonts w:ascii="Arial" w:hAnsi="Arial" w:cs="Arial"/>
                <w:sz w:val="24"/>
                <w:szCs w:val="24"/>
              </w:rPr>
            </w:pPr>
          </w:p>
          <w:p w:rsidR="00914890" w:rsidRPr="00AB59DA" w:rsidRDefault="00914890" w:rsidP="003C118F">
            <w:pPr>
              <w:rPr>
                <w:rFonts w:ascii="Arial" w:hAnsi="Arial" w:cs="Arial"/>
                <w:sz w:val="24"/>
                <w:szCs w:val="24"/>
              </w:rPr>
            </w:pPr>
            <w:r w:rsidRPr="00AB59DA">
              <w:rPr>
                <w:rFonts w:ascii="Arial" w:hAnsi="Arial" w:cs="Arial"/>
                <w:sz w:val="24"/>
                <w:szCs w:val="24"/>
              </w:rPr>
              <w:t>An outline development study has been produced with commercial land owners at Preston North East with the purpose of understanding constraints, aligning</w:t>
            </w:r>
          </w:p>
          <w:p w:rsidR="00914890" w:rsidRPr="00AB59DA" w:rsidRDefault="00914890" w:rsidP="003C118F">
            <w:pPr>
              <w:rPr>
                <w:rFonts w:ascii="Arial" w:hAnsi="Arial" w:cs="Arial"/>
                <w:sz w:val="24"/>
                <w:szCs w:val="24"/>
              </w:rPr>
            </w:pPr>
            <w:r w:rsidRPr="00AB59DA">
              <w:rPr>
                <w:rFonts w:ascii="Arial" w:hAnsi="Arial" w:cs="Arial"/>
                <w:sz w:val="24"/>
                <w:szCs w:val="24"/>
              </w:rPr>
              <w:lastRenderedPageBreak/>
              <w:t xml:space="preserve">Developer interests and identifying potential land uses to support incremental development. </w:t>
            </w:r>
          </w:p>
          <w:p w:rsidR="00914890" w:rsidRPr="00AB59DA" w:rsidRDefault="00914890" w:rsidP="003C118F">
            <w:pPr>
              <w:rPr>
                <w:rFonts w:ascii="Arial" w:hAnsi="Arial" w:cs="Arial"/>
                <w:sz w:val="24"/>
                <w:szCs w:val="24"/>
              </w:rPr>
            </w:pPr>
          </w:p>
          <w:p w:rsidR="00914890" w:rsidRPr="00AB59DA" w:rsidRDefault="00914890" w:rsidP="003C118F">
            <w:pPr>
              <w:rPr>
                <w:rFonts w:ascii="Arial" w:hAnsi="Arial" w:cs="Arial"/>
                <w:sz w:val="24"/>
                <w:szCs w:val="24"/>
              </w:rPr>
            </w:pPr>
            <w:r w:rsidRPr="00AB59DA">
              <w:rPr>
                <w:rFonts w:ascii="Arial" w:hAnsi="Arial" w:cs="Arial"/>
                <w:sz w:val="24"/>
                <w:szCs w:val="24"/>
              </w:rPr>
              <w:t xml:space="preserve">An understanding of the hierarchy of development sites exists with public sector land holding to help co-ordinate the handling of enquiries and control the supply of land on the market.   </w:t>
            </w:r>
          </w:p>
        </w:tc>
        <w:tc>
          <w:tcPr>
            <w:tcW w:w="2075"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sz w:val="24"/>
                <w:szCs w:val="24"/>
              </w:rPr>
            </w:pPr>
          </w:p>
        </w:tc>
      </w:tr>
      <w:tr w:rsidR="00914890" w:rsidRPr="00AB59DA" w:rsidTr="00914890">
        <w:tc>
          <w:tcPr>
            <w:tcW w:w="1831"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b/>
                <w:sz w:val="24"/>
                <w:szCs w:val="24"/>
              </w:rPr>
            </w:pPr>
            <w:r w:rsidRPr="00AB59DA">
              <w:rPr>
                <w:rFonts w:ascii="Arial" w:hAnsi="Arial" w:cs="Arial"/>
                <w:b/>
                <w:sz w:val="24"/>
                <w:szCs w:val="24"/>
              </w:rPr>
              <w:t xml:space="preserve">Investor awareness  </w:t>
            </w:r>
          </w:p>
        </w:tc>
        <w:tc>
          <w:tcPr>
            <w:tcW w:w="5110"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sz w:val="24"/>
                <w:szCs w:val="24"/>
              </w:rPr>
            </w:pPr>
            <w:r w:rsidRPr="00AB59DA">
              <w:rPr>
                <w:rFonts w:ascii="Arial" w:hAnsi="Arial"/>
                <w:sz w:val="24"/>
                <w:szCs w:val="24"/>
              </w:rPr>
              <w:t xml:space="preserve">A </w:t>
            </w:r>
            <w:r w:rsidRPr="00AB59DA">
              <w:rPr>
                <w:rFonts w:ascii="Arial" w:hAnsi="Arial"/>
                <w:b/>
                <w:bCs/>
                <w:i/>
                <w:iCs/>
                <w:sz w:val="24"/>
                <w:szCs w:val="24"/>
              </w:rPr>
              <w:t>City Deal Communications Strategy</w:t>
            </w:r>
            <w:r w:rsidRPr="00AB59DA">
              <w:rPr>
                <w:rFonts w:ascii="Arial" w:hAnsi="Arial"/>
                <w:sz w:val="24"/>
                <w:szCs w:val="24"/>
              </w:rPr>
              <w:t xml:space="preserve"> is being implemented to raise the profile of the City Deal area, and its impact on the Lancashire economy, on a local, regional and national level. A number of high profile events to promote the Invest Central Lancashire proposition will be delivered in in partnership with Place North West.   The City Deal offer </w:t>
            </w:r>
            <w:r>
              <w:rPr>
                <w:rFonts w:ascii="Arial" w:hAnsi="Arial"/>
                <w:sz w:val="24"/>
                <w:szCs w:val="24"/>
              </w:rPr>
              <w:t>was also</w:t>
            </w:r>
            <w:r w:rsidRPr="00AB59DA">
              <w:rPr>
                <w:rFonts w:ascii="Arial" w:hAnsi="Arial"/>
                <w:sz w:val="24"/>
                <w:szCs w:val="24"/>
              </w:rPr>
              <w:t xml:space="preserve"> promoted as part of the Lancashire Enterprise Partnership's presence at MIPIM London and MIPIM Cannes.</w:t>
            </w:r>
          </w:p>
        </w:tc>
        <w:tc>
          <w:tcPr>
            <w:tcW w:w="2075"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sz w:val="24"/>
                <w:szCs w:val="24"/>
              </w:rPr>
            </w:pPr>
            <w:r w:rsidRPr="00AB59DA">
              <w:rPr>
                <w:rFonts w:ascii="Arial" w:hAnsi="Arial" w:cs="Arial"/>
                <w:sz w:val="24"/>
                <w:szCs w:val="24"/>
              </w:rPr>
              <w:t xml:space="preserve">City Deal will be represented at MIPIM London in October. </w:t>
            </w:r>
          </w:p>
          <w:p w:rsidR="00914890" w:rsidRPr="00AB59DA" w:rsidRDefault="00914890" w:rsidP="003C118F">
            <w:pPr>
              <w:rPr>
                <w:rFonts w:ascii="Arial" w:hAnsi="Arial" w:cs="Arial"/>
                <w:sz w:val="24"/>
                <w:szCs w:val="24"/>
              </w:rPr>
            </w:pPr>
          </w:p>
          <w:p w:rsidR="00914890" w:rsidRPr="00AB59DA" w:rsidRDefault="00914890" w:rsidP="003C118F">
            <w:pPr>
              <w:rPr>
                <w:rFonts w:ascii="Arial" w:hAnsi="Arial" w:cs="Arial"/>
                <w:sz w:val="24"/>
                <w:szCs w:val="24"/>
              </w:rPr>
            </w:pPr>
            <w:r w:rsidRPr="00AB59DA">
              <w:rPr>
                <w:rFonts w:ascii="Arial" w:hAnsi="Arial" w:cs="Arial"/>
                <w:sz w:val="24"/>
                <w:szCs w:val="24"/>
              </w:rPr>
              <w:t>The Invest Central Lancs proposition is being finalised in readiness for launch.</w:t>
            </w:r>
          </w:p>
        </w:tc>
      </w:tr>
      <w:tr w:rsidR="00914890" w:rsidRPr="00AB59DA" w:rsidTr="00914890">
        <w:tc>
          <w:tcPr>
            <w:tcW w:w="1831"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rPr>
                <w:rFonts w:ascii="Arial" w:hAnsi="Arial" w:cs="Arial"/>
                <w:sz w:val="24"/>
                <w:szCs w:val="24"/>
              </w:rPr>
            </w:pPr>
          </w:p>
        </w:tc>
        <w:tc>
          <w:tcPr>
            <w:tcW w:w="5110"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ind w:left="720" w:hanging="660"/>
              <w:rPr>
                <w:rFonts w:ascii="Arial" w:hAnsi="Arial" w:cs="Arial"/>
                <w:sz w:val="24"/>
                <w:szCs w:val="24"/>
              </w:rPr>
            </w:pPr>
            <w:r w:rsidRPr="00AB59DA">
              <w:rPr>
                <w:rFonts w:ascii="Arial" w:hAnsi="Arial" w:cs="Arial"/>
                <w:sz w:val="24"/>
                <w:szCs w:val="24"/>
              </w:rPr>
              <w:t xml:space="preserve"> </w:t>
            </w:r>
          </w:p>
        </w:tc>
        <w:tc>
          <w:tcPr>
            <w:tcW w:w="2075"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ind w:left="720" w:hanging="660"/>
              <w:rPr>
                <w:rFonts w:ascii="Arial" w:hAnsi="Arial" w:cs="Arial"/>
                <w:sz w:val="24"/>
                <w:szCs w:val="24"/>
              </w:rPr>
            </w:pPr>
          </w:p>
        </w:tc>
      </w:tr>
    </w:tbl>
    <w:p w:rsidR="00914890" w:rsidRPr="00AB59DA" w:rsidRDefault="00914890" w:rsidP="003C118F">
      <w:pPr>
        <w:spacing w:after="0" w:line="240" w:lineRule="auto"/>
        <w:ind w:firstLine="720"/>
        <w:rPr>
          <w:rFonts w:ascii="Arial" w:hAnsi="Arial" w:cs="Arial"/>
          <w:sz w:val="24"/>
          <w:szCs w:val="24"/>
          <w:u w:val="single"/>
        </w:rPr>
      </w:pPr>
    </w:p>
    <w:p w:rsidR="00914890" w:rsidRPr="00AB59DA" w:rsidRDefault="00914890" w:rsidP="003C118F">
      <w:pPr>
        <w:spacing w:after="0" w:line="240" w:lineRule="auto"/>
        <w:rPr>
          <w:rFonts w:ascii="Arial" w:hAnsi="Arial" w:cs="Arial"/>
          <w:b/>
          <w:sz w:val="24"/>
          <w:szCs w:val="24"/>
          <w:u w:val="single"/>
        </w:rPr>
      </w:pPr>
      <w:r w:rsidRPr="00AB59DA">
        <w:rPr>
          <w:rFonts w:ascii="Arial" w:hAnsi="Arial" w:cs="Arial"/>
          <w:b/>
          <w:sz w:val="24"/>
          <w:szCs w:val="24"/>
          <w:u w:val="single"/>
        </w:rPr>
        <w:t xml:space="preserve">Delivery risks </w:t>
      </w:r>
    </w:p>
    <w:p w:rsidR="00914890" w:rsidRPr="00AB59DA" w:rsidRDefault="00914890" w:rsidP="003C118F">
      <w:pPr>
        <w:spacing w:after="0" w:line="240" w:lineRule="auto"/>
        <w:rPr>
          <w:rFonts w:ascii="Arial" w:hAnsi="Arial" w:cs="Arial"/>
          <w:b/>
          <w:sz w:val="24"/>
          <w:szCs w:val="24"/>
          <w:u w:val="single"/>
        </w:rPr>
      </w:pPr>
    </w:p>
    <w:tbl>
      <w:tblPr>
        <w:tblStyle w:val="TableGrid5"/>
        <w:tblW w:w="0" w:type="auto"/>
        <w:tblLook w:val="04A0" w:firstRow="1" w:lastRow="0" w:firstColumn="1" w:lastColumn="0" w:noHBand="0" w:noVBand="1"/>
      </w:tblPr>
      <w:tblGrid>
        <w:gridCol w:w="3114"/>
        <w:gridCol w:w="3827"/>
        <w:gridCol w:w="2075"/>
      </w:tblGrid>
      <w:tr w:rsidR="00914890" w:rsidRPr="00AB59DA" w:rsidTr="00914890">
        <w:tc>
          <w:tcPr>
            <w:tcW w:w="3114" w:type="dxa"/>
          </w:tcPr>
          <w:p w:rsidR="00914890" w:rsidRPr="00AB59DA" w:rsidRDefault="00914890" w:rsidP="003C118F">
            <w:pPr>
              <w:rPr>
                <w:rFonts w:ascii="Arial" w:hAnsi="Arial" w:cs="Arial"/>
                <w:b/>
                <w:sz w:val="24"/>
                <w:szCs w:val="24"/>
              </w:rPr>
            </w:pPr>
            <w:r w:rsidRPr="00AB59DA">
              <w:rPr>
                <w:rFonts w:ascii="Arial" w:hAnsi="Arial" w:cs="Arial"/>
                <w:b/>
                <w:sz w:val="24"/>
                <w:szCs w:val="24"/>
              </w:rPr>
              <w:t>Risk</w:t>
            </w:r>
          </w:p>
        </w:tc>
        <w:tc>
          <w:tcPr>
            <w:tcW w:w="3827" w:type="dxa"/>
          </w:tcPr>
          <w:p w:rsidR="00914890" w:rsidRPr="00AB59DA" w:rsidRDefault="00914890" w:rsidP="003C118F">
            <w:pPr>
              <w:rPr>
                <w:rFonts w:ascii="Arial" w:hAnsi="Arial" w:cs="Arial"/>
                <w:b/>
                <w:sz w:val="24"/>
                <w:szCs w:val="24"/>
              </w:rPr>
            </w:pPr>
            <w:r w:rsidRPr="00AB59DA">
              <w:rPr>
                <w:rFonts w:ascii="Arial" w:hAnsi="Arial" w:cs="Arial"/>
                <w:b/>
                <w:sz w:val="24"/>
                <w:szCs w:val="24"/>
              </w:rPr>
              <w:t>Mitigation</w:t>
            </w:r>
          </w:p>
        </w:tc>
        <w:tc>
          <w:tcPr>
            <w:tcW w:w="2075" w:type="dxa"/>
          </w:tcPr>
          <w:p w:rsidR="00914890" w:rsidRPr="00AB59DA" w:rsidRDefault="00914890" w:rsidP="003C118F">
            <w:pPr>
              <w:rPr>
                <w:rFonts w:ascii="Arial" w:hAnsi="Arial" w:cs="Arial"/>
                <w:b/>
                <w:sz w:val="24"/>
                <w:szCs w:val="24"/>
              </w:rPr>
            </w:pPr>
            <w:r w:rsidRPr="00AB59DA">
              <w:rPr>
                <w:rFonts w:ascii="Arial" w:hAnsi="Arial" w:cs="Arial"/>
                <w:b/>
                <w:sz w:val="24"/>
                <w:szCs w:val="24"/>
              </w:rPr>
              <w:t>Update</w:t>
            </w:r>
          </w:p>
        </w:tc>
      </w:tr>
      <w:tr w:rsidR="00914890" w:rsidRPr="00AB59DA" w:rsidTr="00914890">
        <w:tc>
          <w:tcPr>
            <w:tcW w:w="3114" w:type="dxa"/>
          </w:tcPr>
          <w:p w:rsidR="00914890" w:rsidRPr="00AB59DA" w:rsidRDefault="00914890" w:rsidP="003C118F">
            <w:pPr>
              <w:rPr>
                <w:rFonts w:ascii="Arial" w:hAnsi="Arial" w:cs="Arial"/>
                <w:b/>
                <w:sz w:val="24"/>
                <w:szCs w:val="24"/>
                <w:u w:val="single"/>
              </w:rPr>
            </w:pPr>
            <w:r w:rsidRPr="00AB59DA">
              <w:rPr>
                <w:rFonts w:ascii="Arial" w:hAnsi="Arial" w:cs="Arial"/>
                <w:b/>
                <w:sz w:val="24"/>
                <w:szCs w:val="24"/>
              </w:rPr>
              <w:t>HCA site delivery</w:t>
            </w:r>
          </w:p>
        </w:tc>
        <w:tc>
          <w:tcPr>
            <w:tcW w:w="3827" w:type="dxa"/>
          </w:tcPr>
          <w:p w:rsidR="00914890" w:rsidRPr="00AB59DA" w:rsidRDefault="00914890" w:rsidP="003C118F">
            <w:pPr>
              <w:jc w:val="both"/>
              <w:rPr>
                <w:rFonts w:ascii="Arial" w:hAnsi="Arial" w:cs="Arial"/>
                <w:sz w:val="24"/>
                <w:szCs w:val="24"/>
              </w:rPr>
            </w:pPr>
            <w:r w:rsidRPr="00AB59DA">
              <w:rPr>
                <w:rFonts w:ascii="Arial" w:hAnsi="Arial" w:cs="Arial"/>
                <w:sz w:val="24"/>
                <w:szCs w:val="24"/>
              </w:rPr>
              <w:t>HCA has undertaken a detailed in-house resource capacity review and have streamlined their site disposal processes.   HCA are continuing to work with agents to ensure the dynamics of the local housing market are factored into disposal activity.</w:t>
            </w:r>
          </w:p>
          <w:p w:rsidR="00914890" w:rsidRPr="00AB59DA" w:rsidRDefault="00914890" w:rsidP="003C118F">
            <w:pPr>
              <w:rPr>
                <w:rFonts w:ascii="Arial" w:hAnsi="Arial" w:cs="Arial"/>
                <w:b/>
                <w:sz w:val="24"/>
                <w:szCs w:val="24"/>
                <w:u w:val="single"/>
              </w:rPr>
            </w:pPr>
          </w:p>
        </w:tc>
        <w:tc>
          <w:tcPr>
            <w:tcW w:w="2075" w:type="dxa"/>
          </w:tcPr>
          <w:p w:rsidR="00914890" w:rsidRPr="00AB59DA" w:rsidRDefault="00914890" w:rsidP="003C118F">
            <w:pPr>
              <w:rPr>
                <w:rFonts w:ascii="Arial" w:hAnsi="Arial" w:cs="Arial"/>
                <w:b/>
                <w:sz w:val="24"/>
                <w:szCs w:val="24"/>
                <w:u w:val="single"/>
              </w:rPr>
            </w:pPr>
          </w:p>
        </w:tc>
      </w:tr>
      <w:tr w:rsidR="00914890" w:rsidRPr="00AB59DA" w:rsidTr="00914890">
        <w:tc>
          <w:tcPr>
            <w:tcW w:w="3114" w:type="dxa"/>
          </w:tcPr>
          <w:p w:rsidR="00914890" w:rsidRPr="00AB59DA" w:rsidRDefault="00914890" w:rsidP="003C118F">
            <w:pPr>
              <w:rPr>
                <w:rFonts w:ascii="Arial" w:hAnsi="Arial" w:cs="Arial"/>
                <w:b/>
                <w:sz w:val="24"/>
                <w:szCs w:val="24"/>
                <w:u w:val="single"/>
              </w:rPr>
            </w:pPr>
            <w:r w:rsidRPr="00AB59DA">
              <w:rPr>
                <w:rFonts w:ascii="Arial" w:hAnsi="Arial" w:cs="Arial"/>
                <w:b/>
                <w:sz w:val="24"/>
                <w:szCs w:val="24"/>
              </w:rPr>
              <w:t>Site take-up/market demand is slower than anticipated</w:t>
            </w:r>
          </w:p>
        </w:tc>
        <w:tc>
          <w:tcPr>
            <w:tcW w:w="3827" w:type="dxa"/>
          </w:tcPr>
          <w:p w:rsidR="00914890" w:rsidRPr="00AB59DA" w:rsidRDefault="00914890" w:rsidP="003C118F">
            <w:pPr>
              <w:ind w:left="69" w:hanging="9"/>
              <w:rPr>
                <w:rFonts w:ascii="Arial" w:hAnsi="Arial" w:cs="Arial"/>
                <w:sz w:val="24"/>
                <w:szCs w:val="24"/>
              </w:rPr>
            </w:pPr>
            <w:r w:rsidRPr="00AB59DA">
              <w:rPr>
                <w:rFonts w:ascii="Arial" w:hAnsi="Arial" w:cs="Arial"/>
                <w:sz w:val="24"/>
                <w:szCs w:val="24"/>
              </w:rPr>
              <w:t xml:space="preserve">HCA sites are being de-risked via a package of measures </w:t>
            </w:r>
            <w:proofErr w:type="spellStart"/>
            <w:r w:rsidRPr="00AB59DA">
              <w:rPr>
                <w:rFonts w:ascii="Arial" w:hAnsi="Arial" w:cs="Arial"/>
                <w:sz w:val="24"/>
                <w:szCs w:val="24"/>
              </w:rPr>
              <w:t>eg</w:t>
            </w:r>
            <w:proofErr w:type="spellEnd"/>
            <w:r w:rsidRPr="00AB59DA">
              <w:rPr>
                <w:rFonts w:ascii="Arial" w:hAnsi="Arial" w:cs="Arial"/>
                <w:sz w:val="24"/>
                <w:szCs w:val="24"/>
              </w:rPr>
              <w:t xml:space="preserve">. title due diligence, securing planning, full engagement with agents and legal team in all land transactions Carry out regular soft market testing to understand market trends </w:t>
            </w:r>
            <w:proofErr w:type="spellStart"/>
            <w:r w:rsidRPr="00AB59DA">
              <w:rPr>
                <w:rFonts w:ascii="Arial" w:hAnsi="Arial" w:cs="Arial"/>
                <w:sz w:val="24"/>
                <w:szCs w:val="24"/>
              </w:rPr>
              <w:t>ie</w:t>
            </w:r>
            <w:proofErr w:type="spellEnd"/>
            <w:r w:rsidRPr="00AB59DA">
              <w:rPr>
                <w:rFonts w:ascii="Arial" w:hAnsi="Arial" w:cs="Arial"/>
                <w:sz w:val="24"/>
                <w:szCs w:val="24"/>
              </w:rPr>
              <w:t xml:space="preserve">. </w:t>
            </w:r>
            <w:proofErr w:type="gramStart"/>
            <w:r w:rsidRPr="00AB59DA">
              <w:rPr>
                <w:rFonts w:ascii="Arial" w:hAnsi="Arial" w:cs="Arial"/>
                <w:sz w:val="24"/>
                <w:szCs w:val="24"/>
              </w:rPr>
              <w:t>the</w:t>
            </w:r>
            <w:proofErr w:type="gramEnd"/>
            <w:r w:rsidRPr="00AB59DA">
              <w:rPr>
                <w:rFonts w:ascii="Arial" w:hAnsi="Arial" w:cs="Arial"/>
                <w:sz w:val="24"/>
                <w:szCs w:val="24"/>
              </w:rPr>
              <w:t xml:space="preserve"> current position and future forecasts, and respond accordingly.  </w:t>
            </w:r>
          </w:p>
          <w:p w:rsidR="00914890" w:rsidRPr="00AB59DA" w:rsidRDefault="00914890" w:rsidP="003C118F">
            <w:pPr>
              <w:framePr w:hSpace="180" w:wrap="around" w:vAnchor="text" w:hAnchor="text" w:y="1"/>
              <w:ind w:left="660" w:hanging="660"/>
              <w:suppressOverlap/>
              <w:jc w:val="both"/>
              <w:rPr>
                <w:rFonts w:ascii="Arial" w:hAnsi="Arial" w:cs="Arial"/>
                <w:sz w:val="24"/>
                <w:szCs w:val="24"/>
              </w:rPr>
            </w:pPr>
          </w:p>
          <w:p w:rsidR="00914890" w:rsidRPr="00AB59DA" w:rsidRDefault="00914890" w:rsidP="003C118F">
            <w:pPr>
              <w:framePr w:hSpace="180" w:wrap="around" w:vAnchor="text" w:hAnchor="text" w:y="1"/>
              <w:suppressOverlap/>
              <w:jc w:val="both"/>
              <w:rPr>
                <w:rFonts w:ascii="Arial" w:hAnsi="Arial" w:cs="Arial"/>
                <w:sz w:val="24"/>
                <w:szCs w:val="24"/>
              </w:rPr>
            </w:pPr>
            <w:r w:rsidRPr="00AB59DA">
              <w:rPr>
                <w:rFonts w:ascii="Arial" w:hAnsi="Arial" w:cs="Arial"/>
                <w:sz w:val="24"/>
                <w:szCs w:val="24"/>
              </w:rPr>
              <w:lastRenderedPageBreak/>
              <w:t>City Deal Investor and Developer Forums held to ensure house developers and other investors are aware of City Deal site disposal opportunities A programme of investor Awareness activity is programmed as part of the</w:t>
            </w:r>
            <w:r w:rsidRPr="00AB59DA">
              <w:rPr>
                <w:rFonts w:ascii="Arial" w:hAnsi="Arial" w:cs="Arial"/>
                <w:b/>
                <w:i/>
                <w:sz w:val="24"/>
                <w:szCs w:val="24"/>
              </w:rPr>
              <w:t xml:space="preserve"> </w:t>
            </w:r>
            <w:r w:rsidRPr="00AB59DA">
              <w:rPr>
                <w:rFonts w:ascii="Arial" w:hAnsi="Arial" w:cs="Arial"/>
                <w:sz w:val="24"/>
                <w:szCs w:val="24"/>
              </w:rPr>
              <w:t xml:space="preserve">City Deal Marketing &amp; Communications Strategy. </w:t>
            </w:r>
          </w:p>
          <w:p w:rsidR="00914890" w:rsidRPr="00AB59DA" w:rsidRDefault="00914890" w:rsidP="003C118F">
            <w:pPr>
              <w:framePr w:hSpace="180" w:wrap="around" w:vAnchor="text" w:hAnchor="text" w:y="1"/>
              <w:suppressOverlap/>
              <w:jc w:val="both"/>
              <w:rPr>
                <w:rFonts w:ascii="Arial" w:hAnsi="Arial" w:cs="Arial"/>
                <w:sz w:val="24"/>
                <w:szCs w:val="24"/>
              </w:rPr>
            </w:pPr>
          </w:p>
          <w:p w:rsidR="00914890" w:rsidRPr="00AB59DA" w:rsidRDefault="00914890" w:rsidP="003C118F">
            <w:pPr>
              <w:ind w:left="69" w:hanging="9"/>
              <w:rPr>
                <w:rFonts w:ascii="Arial" w:hAnsi="Arial" w:cs="Arial"/>
                <w:b/>
                <w:sz w:val="24"/>
                <w:szCs w:val="24"/>
                <w:u w:val="single"/>
              </w:rPr>
            </w:pPr>
            <w:r w:rsidRPr="00AB59DA">
              <w:rPr>
                <w:rFonts w:ascii="Arial" w:hAnsi="Arial" w:cs="Arial"/>
                <w:sz w:val="24"/>
                <w:szCs w:val="24"/>
              </w:rPr>
              <w:t xml:space="preserve">Investor and Developer Forums continue to be scheduled, and a Lancashire Business View event was held recently at </w:t>
            </w:r>
            <w:proofErr w:type="spellStart"/>
            <w:r w:rsidRPr="00AB59DA">
              <w:rPr>
                <w:rFonts w:ascii="Arial" w:hAnsi="Arial" w:cs="Arial"/>
                <w:sz w:val="24"/>
                <w:szCs w:val="24"/>
              </w:rPr>
              <w:t>BartleHall</w:t>
            </w:r>
            <w:proofErr w:type="spellEnd"/>
            <w:r w:rsidRPr="00AB59DA">
              <w:rPr>
                <w:rFonts w:ascii="Arial" w:hAnsi="Arial" w:cs="Arial"/>
                <w:sz w:val="24"/>
                <w:szCs w:val="24"/>
              </w:rPr>
              <w:t xml:space="preserve">.   </w:t>
            </w:r>
          </w:p>
        </w:tc>
        <w:tc>
          <w:tcPr>
            <w:tcW w:w="2075" w:type="dxa"/>
          </w:tcPr>
          <w:p w:rsidR="00914890" w:rsidRPr="00AB59DA" w:rsidRDefault="00914890" w:rsidP="003C118F">
            <w:pPr>
              <w:rPr>
                <w:rFonts w:ascii="Arial" w:hAnsi="Arial" w:cs="Arial"/>
                <w:b/>
                <w:sz w:val="24"/>
                <w:szCs w:val="24"/>
                <w:u w:val="single"/>
              </w:rPr>
            </w:pPr>
          </w:p>
        </w:tc>
      </w:tr>
      <w:tr w:rsidR="00914890" w:rsidRPr="00AB59DA" w:rsidTr="00914890">
        <w:tc>
          <w:tcPr>
            <w:tcW w:w="3114" w:type="dxa"/>
          </w:tcPr>
          <w:p w:rsidR="00914890" w:rsidRPr="00AB59DA" w:rsidRDefault="00914890" w:rsidP="003C118F">
            <w:pPr>
              <w:rPr>
                <w:rFonts w:ascii="Arial" w:hAnsi="Arial" w:cs="Arial"/>
                <w:b/>
                <w:sz w:val="24"/>
                <w:szCs w:val="24"/>
                <w:u w:val="single"/>
              </w:rPr>
            </w:pPr>
            <w:r w:rsidRPr="00AB59DA">
              <w:rPr>
                <w:rFonts w:ascii="Arial" w:hAnsi="Arial" w:cs="Arial"/>
                <w:b/>
                <w:sz w:val="24"/>
                <w:szCs w:val="24"/>
              </w:rPr>
              <w:t xml:space="preserve">Housing and commercial construction and skills capacity  </w:t>
            </w:r>
          </w:p>
        </w:tc>
        <w:tc>
          <w:tcPr>
            <w:tcW w:w="3827" w:type="dxa"/>
          </w:tcPr>
          <w:p w:rsidR="00914890" w:rsidRPr="00AB59DA" w:rsidRDefault="00914890" w:rsidP="003C118F">
            <w:pPr>
              <w:ind w:firstLine="60"/>
              <w:rPr>
                <w:rFonts w:ascii="Arial" w:hAnsi="Arial" w:cs="Arial"/>
                <w:sz w:val="24"/>
                <w:szCs w:val="24"/>
              </w:rPr>
            </w:pPr>
            <w:r w:rsidRPr="00AB59DA">
              <w:rPr>
                <w:rFonts w:ascii="Arial" w:hAnsi="Arial" w:cs="Arial"/>
                <w:sz w:val="24"/>
                <w:szCs w:val="24"/>
              </w:rPr>
              <w:t xml:space="preserve">A </w:t>
            </w:r>
            <w:r w:rsidRPr="00AB59DA">
              <w:rPr>
                <w:rFonts w:ascii="Arial" w:hAnsi="Arial" w:cs="Arial"/>
                <w:b/>
                <w:i/>
                <w:sz w:val="24"/>
                <w:szCs w:val="24"/>
              </w:rPr>
              <w:t>LEP</w:t>
            </w:r>
            <w:r w:rsidRPr="00AB59DA">
              <w:rPr>
                <w:rFonts w:ascii="Arial" w:hAnsi="Arial" w:cs="Arial"/>
                <w:sz w:val="24"/>
                <w:szCs w:val="24"/>
              </w:rPr>
              <w:t xml:space="preserve"> </w:t>
            </w:r>
            <w:r w:rsidRPr="00AB59DA">
              <w:rPr>
                <w:rFonts w:ascii="Arial" w:hAnsi="Arial" w:cs="Arial"/>
                <w:b/>
                <w:i/>
                <w:sz w:val="24"/>
                <w:szCs w:val="24"/>
              </w:rPr>
              <w:t xml:space="preserve">Skills Hub </w:t>
            </w:r>
            <w:r w:rsidRPr="00AB59DA">
              <w:rPr>
                <w:rFonts w:ascii="Arial" w:hAnsi="Arial" w:cs="Arial"/>
                <w:sz w:val="24"/>
                <w:szCs w:val="24"/>
              </w:rPr>
              <w:t xml:space="preserve">has been established in order to understand skills and employment priorities, and introduce interventions to support industry to recruit and retain a skilled and productive workforce. The City Deal Skills and Employment Group will take City Deal-specific elements forward.    </w:t>
            </w:r>
          </w:p>
          <w:p w:rsidR="00914890" w:rsidRPr="00AB59DA" w:rsidRDefault="00914890" w:rsidP="003C118F">
            <w:pPr>
              <w:ind w:left="720" w:hanging="660"/>
              <w:rPr>
                <w:rFonts w:ascii="Arial" w:hAnsi="Arial" w:cs="Arial"/>
                <w:sz w:val="24"/>
                <w:szCs w:val="24"/>
              </w:rPr>
            </w:pPr>
          </w:p>
          <w:p w:rsidR="00914890" w:rsidRPr="00AB59DA" w:rsidRDefault="00914890" w:rsidP="003C118F">
            <w:pPr>
              <w:ind w:left="1" w:firstLine="59"/>
              <w:rPr>
                <w:rFonts w:ascii="Arial" w:hAnsi="Arial" w:cs="Arial"/>
                <w:sz w:val="24"/>
                <w:szCs w:val="24"/>
              </w:rPr>
            </w:pPr>
            <w:r w:rsidRPr="00AB59DA">
              <w:rPr>
                <w:rFonts w:ascii="Arial" w:hAnsi="Arial" w:cs="Arial"/>
                <w:sz w:val="24"/>
                <w:szCs w:val="24"/>
              </w:rPr>
              <w:t xml:space="preserve">A Skills Action Plan has been produced that details 9 areas of activity to support the broad skills aims. Metrics have been developed to establish targets and monitor programme effectiveness.  </w:t>
            </w:r>
          </w:p>
          <w:p w:rsidR="00914890" w:rsidRPr="00AB59DA" w:rsidRDefault="00914890" w:rsidP="003C118F">
            <w:pPr>
              <w:ind w:left="720" w:hanging="660"/>
              <w:rPr>
                <w:rFonts w:ascii="Arial" w:hAnsi="Arial" w:cs="Arial"/>
                <w:sz w:val="24"/>
                <w:szCs w:val="24"/>
              </w:rPr>
            </w:pPr>
          </w:p>
          <w:p w:rsidR="00914890" w:rsidRPr="00AB59DA" w:rsidRDefault="00914890" w:rsidP="003C118F">
            <w:pPr>
              <w:rPr>
                <w:rFonts w:ascii="Arial" w:hAnsi="Arial" w:cs="Arial"/>
                <w:b/>
                <w:sz w:val="24"/>
                <w:szCs w:val="24"/>
                <w:u w:val="single"/>
              </w:rPr>
            </w:pPr>
            <w:r w:rsidRPr="00AB59DA">
              <w:rPr>
                <w:rFonts w:ascii="Arial" w:hAnsi="Arial" w:cs="Arial"/>
                <w:sz w:val="24"/>
                <w:szCs w:val="24"/>
              </w:rPr>
              <w:t xml:space="preserve">A </w:t>
            </w:r>
            <w:r w:rsidRPr="00AB59DA">
              <w:rPr>
                <w:rFonts w:ascii="Arial" w:hAnsi="Arial" w:cs="Arial"/>
                <w:b/>
                <w:i/>
                <w:sz w:val="24"/>
                <w:szCs w:val="24"/>
              </w:rPr>
              <w:t xml:space="preserve">Construction Hub </w:t>
            </w:r>
            <w:r w:rsidRPr="00AB59DA">
              <w:rPr>
                <w:rFonts w:ascii="Arial" w:hAnsi="Arial" w:cs="Arial"/>
                <w:sz w:val="24"/>
                <w:szCs w:val="24"/>
              </w:rPr>
              <w:t xml:space="preserve">has also been established with one of its aims to build capacity within the local construction sector, including technical development.   </w:t>
            </w:r>
          </w:p>
        </w:tc>
        <w:tc>
          <w:tcPr>
            <w:tcW w:w="2075" w:type="dxa"/>
          </w:tcPr>
          <w:p w:rsidR="00914890" w:rsidRPr="00AB59DA" w:rsidRDefault="00914890" w:rsidP="003C118F">
            <w:pPr>
              <w:rPr>
                <w:rFonts w:ascii="Arial" w:hAnsi="Arial" w:cs="Arial"/>
                <w:sz w:val="24"/>
                <w:szCs w:val="24"/>
              </w:rPr>
            </w:pPr>
          </w:p>
        </w:tc>
      </w:tr>
      <w:tr w:rsidR="00914890" w:rsidRPr="00AB59DA" w:rsidTr="00914890">
        <w:tc>
          <w:tcPr>
            <w:tcW w:w="3114" w:type="dxa"/>
          </w:tcPr>
          <w:p w:rsidR="00914890" w:rsidRPr="00AB59DA" w:rsidRDefault="00914890" w:rsidP="003C118F">
            <w:pPr>
              <w:rPr>
                <w:rFonts w:ascii="Arial" w:hAnsi="Arial" w:cs="Arial"/>
                <w:b/>
                <w:sz w:val="24"/>
                <w:szCs w:val="24"/>
              </w:rPr>
            </w:pPr>
            <w:r w:rsidRPr="00AB59DA">
              <w:rPr>
                <w:rFonts w:ascii="Arial" w:hAnsi="Arial" w:cs="Arial"/>
                <w:b/>
                <w:sz w:val="24"/>
                <w:szCs w:val="24"/>
              </w:rPr>
              <w:t>Various delivery risks identified by housebuilders.</w:t>
            </w:r>
          </w:p>
          <w:p w:rsidR="00914890" w:rsidRPr="00AB59DA" w:rsidRDefault="00914890" w:rsidP="003C118F">
            <w:pPr>
              <w:numPr>
                <w:ilvl w:val="0"/>
                <w:numId w:val="9"/>
              </w:numPr>
              <w:contextualSpacing/>
              <w:rPr>
                <w:rFonts w:ascii="Arial" w:hAnsi="Arial" w:cs="Arial"/>
                <w:sz w:val="24"/>
                <w:szCs w:val="24"/>
              </w:rPr>
            </w:pPr>
            <w:r w:rsidRPr="00AB59DA">
              <w:rPr>
                <w:rFonts w:ascii="Arial" w:hAnsi="Arial" w:cs="Arial"/>
                <w:sz w:val="24"/>
                <w:szCs w:val="24"/>
              </w:rPr>
              <w:t xml:space="preserve">This is the first year developers can no longer benefit from pre-CIL permissions so all developments are liable to CIL. </w:t>
            </w:r>
          </w:p>
          <w:p w:rsidR="00914890" w:rsidRPr="00AB59DA" w:rsidRDefault="00914890" w:rsidP="003C118F">
            <w:pPr>
              <w:numPr>
                <w:ilvl w:val="0"/>
                <w:numId w:val="9"/>
              </w:numPr>
              <w:contextualSpacing/>
              <w:rPr>
                <w:rFonts w:ascii="Arial" w:hAnsi="Arial" w:cs="Arial"/>
                <w:sz w:val="24"/>
                <w:szCs w:val="24"/>
              </w:rPr>
            </w:pPr>
            <w:r w:rsidRPr="00AB59DA">
              <w:rPr>
                <w:rFonts w:ascii="Arial" w:hAnsi="Arial" w:cs="Arial"/>
                <w:sz w:val="24"/>
                <w:szCs w:val="24"/>
              </w:rPr>
              <w:lastRenderedPageBreak/>
              <w:t xml:space="preserve">Site specific issues on key strategic sites </w:t>
            </w:r>
          </w:p>
          <w:p w:rsidR="00914890" w:rsidRPr="00AB59DA" w:rsidRDefault="00914890" w:rsidP="003C118F">
            <w:pPr>
              <w:numPr>
                <w:ilvl w:val="0"/>
                <w:numId w:val="9"/>
              </w:numPr>
              <w:contextualSpacing/>
              <w:rPr>
                <w:rFonts w:ascii="Arial" w:hAnsi="Arial" w:cs="Arial"/>
                <w:sz w:val="24"/>
                <w:szCs w:val="24"/>
              </w:rPr>
            </w:pPr>
            <w:r w:rsidRPr="00AB59DA">
              <w:rPr>
                <w:rFonts w:ascii="Arial" w:hAnsi="Arial" w:cs="Arial"/>
                <w:sz w:val="24"/>
                <w:szCs w:val="24"/>
              </w:rPr>
              <w:t>Extensive range of sites available in the wider Central Lancashire market area which is allowing developers to be selective in the phasing of their developments</w:t>
            </w:r>
          </w:p>
          <w:p w:rsidR="00914890" w:rsidRPr="00AB59DA" w:rsidRDefault="00914890" w:rsidP="003C118F">
            <w:pPr>
              <w:numPr>
                <w:ilvl w:val="0"/>
                <w:numId w:val="9"/>
              </w:numPr>
              <w:contextualSpacing/>
              <w:rPr>
                <w:rFonts w:ascii="Arial" w:hAnsi="Arial" w:cs="Arial"/>
                <w:sz w:val="24"/>
                <w:szCs w:val="24"/>
              </w:rPr>
            </w:pPr>
            <w:r w:rsidRPr="00AB59DA">
              <w:rPr>
                <w:rFonts w:ascii="Arial" w:hAnsi="Arial" w:cs="Arial"/>
                <w:sz w:val="24"/>
                <w:szCs w:val="24"/>
              </w:rPr>
              <w:t>Developers desire to regulate the flow of new housing so as not to saturate the market</w:t>
            </w:r>
          </w:p>
          <w:p w:rsidR="00914890" w:rsidRPr="00AB59DA" w:rsidRDefault="00914890" w:rsidP="003C118F">
            <w:pPr>
              <w:numPr>
                <w:ilvl w:val="0"/>
                <w:numId w:val="9"/>
              </w:numPr>
              <w:contextualSpacing/>
              <w:rPr>
                <w:rFonts w:ascii="Arial" w:hAnsi="Arial" w:cs="Arial"/>
                <w:sz w:val="24"/>
                <w:szCs w:val="24"/>
              </w:rPr>
            </w:pPr>
            <w:r w:rsidRPr="00AB59DA">
              <w:rPr>
                <w:rFonts w:ascii="Arial" w:hAnsi="Arial" w:cs="Arial"/>
                <w:sz w:val="24"/>
                <w:szCs w:val="24"/>
              </w:rPr>
              <w:t>Uncertainty over the Government CIL review, housing white paper and delivery of Affordable Housing</w:t>
            </w:r>
          </w:p>
          <w:p w:rsidR="00914890" w:rsidRPr="00AB59DA" w:rsidRDefault="00914890" w:rsidP="003C118F">
            <w:pPr>
              <w:numPr>
                <w:ilvl w:val="0"/>
                <w:numId w:val="9"/>
              </w:numPr>
              <w:contextualSpacing/>
              <w:rPr>
                <w:rFonts w:ascii="Arial" w:hAnsi="Arial" w:cs="Arial"/>
                <w:sz w:val="24"/>
                <w:szCs w:val="24"/>
              </w:rPr>
            </w:pPr>
            <w:r w:rsidRPr="00AB59DA">
              <w:rPr>
                <w:rFonts w:ascii="Arial" w:hAnsi="Arial" w:cs="Arial"/>
                <w:sz w:val="24"/>
                <w:szCs w:val="24"/>
              </w:rPr>
              <w:t>On-going uncertainty as to the economic effect of Brexit.</w:t>
            </w:r>
          </w:p>
          <w:p w:rsidR="00914890" w:rsidRPr="00AB59DA" w:rsidRDefault="00914890" w:rsidP="003C118F">
            <w:pPr>
              <w:numPr>
                <w:ilvl w:val="0"/>
                <w:numId w:val="9"/>
              </w:numPr>
              <w:contextualSpacing/>
              <w:rPr>
                <w:rFonts w:ascii="Arial" w:hAnsi="Arial" w:cs="Arial"/>
                <w:sz w:val="24"/>
                <w:szCs w:val="24"/>
              </w:rPr>
            </w:pPr>
            <w:r w:rsidRPr="00AB59DA">
              <w:rPr>
                <w:rFonts w:ascii="Arial" w:hAnsi="Arial" w:cs="Arial"/>
                <w:sz w:val="24"/>
                <w:szCs w:val="24"/>
              </w:rPr>
              <w:t>Availability of materials and significant skills/labour shortages</w:t>
            </w:r>
          </w:p>
          <w:p w:rsidR="00914890" w:rsidRPr="00AB59DA" w:rsidRDefault="00914890" w:rsidP="003C118F">
            <w:pPr>
              <w:numPr>
                <w:ilvl w:val="0"/>
                <w:numId w:val="9"/>
              </w:numPr>
              <w:contextualSpacing/>
              <w:rPr>
                <w:rFonts w:ascii="Arial" w:hAnsi="Arial" w:cs="Arial"/>
                <w:sz w:val="24"/>
                <w:szCs w:val="24"/>
              </w:rPr>
            </w:pPr>
            <w:r w:rsidRPr="00AB59DA">
              <w:rPr>
                <w:rFonts w:ascii="Arial" w:hAnsi="Arial" w:cs="Arial"/>
                <w:sz w:val="24"/>
                <w:szCs w:val="24"/>
              </w:rPr>
              <w:t>Access to finance</w:t>
            </w:r>
          </w:p>
          <w:p w:rsidR="00914890" w:rsidRPr="00AB59DA" w:rsidRDefault="00914890" w:rsidP="003C118F">
            <w:pPr>
              <w:numPr>
                <w:ilvl w:val="0"/>
                <w:numId w:val="9"/>
              </w:numPr>
              <w:contextualSpacing/>
              <w:rPr>
                <w:rFonts w:ascii="Arial" w:hAnsi="Arial" w:cs="Arial"/>
                <w:sz w:val="24"/>
                <w:szCs w:val="24"/>
              </w:rPr>
            </w:pPr>
            <w:r w:rsidRPr="00AB59DA">
              <w:rPr>
                <w:rFonts w:ascii="Arial" w:hAnsi="Arial" w:cs="Arial"/>
                <w:sz w:val="24"/>
                <w:szCs w:val="24"/>
              </w:rPr>
              <w:t>In some cases sites already under construction are reaching the less marketable areas of the site and therefore completions are slower</w:t>
            </w:r>
          </w:p>
          <w:p w:rsidR="00914890" w:rsidRPr="00AB59DA" w:rsidRDefault="00914890" w:rsidP="003C118F">
            <w:pPr>
              <w:rPr>
                <w:rFonts w:ascii="Arial" w:hAnsi="Arial" w:cs="Arial"/>
                <w:b/>
                <w:sz w:val="24"/>
                <w:szCs w:val="24"/>
              </w:rPr>
            </w:pPr>
          </w:p>
        </w:tc>
        <w:tc>
          <w:tcPr>
            <w:tcW w:w="3827" w:type="dxa"/>
          </w:tcPr>
          <w:p w:rsidR="00914890" w:rsidRPr="00AB59DA" w:rsidRDefault="00914890" w:rsidP="003C118F">
            <w:pPr>
              <w:ind w:firstLine="60"/>
              <w:rPr>
                <w:rFonts w:ascii="Arial" w:hAnsi="Arial" w:cs="Arial"/>
                <w:sz w:val="24"/>
                <w:szCs w:val="24"/>
              </w:rPr>
            </w:pPr>
            <w:r w:rsidRPr="00AB59DA">
              <w:rPr>
                <w:rFonts w:ascii="Arial" w:hAnsi="Arial" w:cs="Arial"/>
                <w:sz w:val="24"/>
                <w:szCs w:val="24"/>
              </w:rPr>
              <w:lastRenderedPageBreak/>
              <w:t>Feedback from house builders across the city deal area has identified a variety of potential delivery risks.  It is proposed that DSDG will further evaluate and formulate appropriate responses to these risks as appropriate.</w:t>
            </w:r>
          </w:p>
        </w:tc>
        <w:tc>
          <w:tcPr>
            <w:tcW w:w="2075" w:type="dxa"/>
          </w:tcPr>
          <w:p w:rsidR="00914890" w:rsidRPr="00AB59DA" w:rsidRDefault="00914890" w:rsidP="003C118F">
            <w:pPr>
              <w:rPr>
                <w:rFonts w:ascii="Arial" w:hAnsi="Arial" w:cs="Arial"/>
                <w:sz w:val="24"/>
                <w:szCs w:val="24"/>
              </w:rPr>
            </w:pPr>
          </w:p>
        </w:tc>
      </w:tr>
    </w:tbl>
    <w:p w:rsidR="00914890" w:rsidRPr="00AB59DA" w:rsidRDefault="00914890" w:rsidP="003C118F">
      <w:pPr>
        <w:spacing w:after="0" w:line="240" w:lineRule="auto"/>
        <w:rPr>
          <w:rFonts w:ascii="Arial" w:hAnsi="Arial" w:cs="Arial"/>
          <w:b/>
          <w:sz w:val="24"/>
          <w:szCs w:val="24"/>
          <w:u w:val="single"/>
        </w:rPr>
      </w:pPr>
    </w:p>
    <w:p w:rsidR="003C118F" w:rsidRDefault="003C118F" w:rsidP="003C118F">
      <w:pPr>
        <w:spacing w:after="0" w:line="240" w:lineRule="auto"/>
        <w:rPr>
          <w:rFonts w:ascii="Arial" w:hAnsi="Arial" w:cs="Arial"/>
          <w:b/>
          <w:sz w:val="24"/>
          <w:szCs w:val="24"/>
          <w:u w:val="single"/>
        </w:rPr>
      </w:pPr>
    </w:p>
    <w:p w:rsidR="003C118F" w:rsidRDefault="003C118F" w:rsidP="003C118F">
      <w:pPr>
        <w:spacing w:after="0" w:line="240" w:lineRule="auto"/>
        <w:rPr>
          <w:rFonts w:ascii="Arial" w:hAnsi="Arial" w:cs="Arial"/>
          <w:b/>
          <w:sz w:val="24"/>
          <w:szCs w:val="24"/>
          <w:u w:val="single"/>
        </w:rPr>
      </w:pPr>
    </w:p>
    <w:p w:rsidR="003C118F" w:rsidRDefault="003C118F" w:rsidP="003C118F">
      <w:pPr>
        <w:spacing w:after="0" w:line="240" w:lineRule="auto"/>
        <w:rPr>
          <w:rFonts w:ascii="Arial" w:hAnsi="Arial" w:cs="Arial"/>
          <w:b/>
          <w:sz w:val="24"/>
          <w:szCs w:val="24"/>
          <w:u w:val="single"/>
        </w:rPr>
      </w:pPr>
    </w:p>
    <w:p w:rsidR="003C118F" w:rsidRDefault="003C118F" w:rsidP="003C118F">
      <w:pPr>
        <w:spacing w:after="0" w:line="240" w:lineRule="auto"/>
        <w:rPr>
          <w:rFonts w:ascii="Arial" w:hAnsi="Arial" w:cs="Arial"/>
          <w:b/>
          <w:sz w:val="24"/>
          <w:szCs w:val="24"/>
          <w:u w:val="single"/>
        </w:rPr>
      </w:pPr>
    </w:p>
    <w:p w:rsidR="00914890" w:rsidRPr="00AB59DA" w:rsidRDefault="00914890" w:rsidP="003C118F">
      <w:pPr>
        <w:spacing w:after="0" w:line="240" w:lineRule="auto"/>
        <w:rPr>
          <w:rFonts w:ascii="Arial" w:hAnsi="Arial" w:cs="Arial"/>
          <w:b/>
          <w:sz w:val="24"/>
          <w:szCs w:val="24"/>
          <w:u w:val="single"/>
        </w:rPr>
      </w:pPr>
      <w:r w:rsidRPr="00AB59DA">
        <w:rPr>
          <w:rFonts w:ascii="Arial" w:hAnsi="Arial" w:cs="Arial"/>
          <w:b/>
          <w:sz w:val="24"/>
          <w:szCs w:val="24"/>
          <w:u w:val="single"/>
        </w:rPr>
        <w:t xml:space="preserve">Policy &amp; Political risks </w:t>
      </w:r>
    </w:p>
    <w:p w:rsidR="00914890" w:rsidRPr="00AB59DA" w:rsidRDefault="00914890" w:rsidP="003C118F">
      <w:pPr>
        <w:spacing w:after="0" w:line="240" w:lineRule="auto"/>
        <w:ind w:left="720"/>
        <w:rPr>
          <w:rFonts w:ascii="Arial" w:hAnsi="Arial" w:cs="Arial"/>
          <w:sz w:val="24"/>
          <w:szCs w:val="24"/>
        </w:rPr>
      </w:pPr>
      <w:r w:rsidRPr="00AB59DA">
        <w:rPr>
          <w:rFonts w:ascii="Arial" w:hAnsi="Arial" w:cs="Arial"/>
          <w:sz w:val="24"/>
          <w:szCs w:val="24"/>
        </w:rPr>
        <w:tab/>
      </w:r>
    </w:p>
    <w:p w:rsidR="00914890" w:rsidRPr="00AB59DA" w:rsidRDefault="00914890" w:rsidP="003C118F">
      <w:pPr>
        <w:spacing w:after="0" w:line="240" w:lineRule="auto"/>
        <w:ind w:hanging="142"/>
        <w:rPr>
          <w:rFonts w:ascii="Arial" w:hAnsi="Arial" w:cs="Arial"/>
          <w:sz w:val="24"/>
          <w:szCs w:val="24"/>
        </w:rPr>
      </w:pPr>
      <w:r w:rsidRPr="00AB59DA">
        <w:rPr>
          <w:rFonts w:ascii="Arial" w:hAnsi="Arial" w:cs="Arial"/>
          <w:sz w:val="24"/>
          <w:szCs w:val="24"/>
        </w:rPr>
        <w:tab/>
        <w:t>The housing market, particularly in relation to certain sectors of the market, will be more sensitive to developments and changes with Government policy which may have a bearing upon, for example, affordable housing, specific   housing types and locations or the ability of different groups to enter the housing market.</w:t>
      </w:r>
    </w:p>
    <w:p w:rsidR="00914890" w:rsidRPr="00AB59DA" w:rsidRDefault="00914890" w:rsidP="003C118F">
      <w:pPr>
        <w:spacing w:after="0" w:line="240" w:lineRule="auto"/>
        <w:ind w:hanging="142"/>
        <w:rPr>
          <w:rFonts w:ascii="Arial" w:hAnsi="Arial" w:cs="Arial"/>
          <w:sz w:val="24"/>
          <w:szCs w:val="24"/>
        </w:rPr>
      </w:pPr>
    </w:p>
    <w:p w:rsidR="00914890" w:rsidRPr="00AB59DA" w:rsidRDefault="00914890" w:rsidP="003C118F">
      <w:pPr>
        <w:autoSpaceDE w:val="0"/>
        <w:autoSpaceDN w:val="0"/>
        <w:adjustRightInd w:val="0"/>
        <w:spacing w:after="0" w:line="240" w:lineRule="auto"/>
        <w:ind w:hanging="142"/>
        <w:rPr>
          <w:rFonts w:ascii="Arial" w:hAnsi="Arial" w:cs="Arial"/>
          <w:sz w:val="24"/>
          <w:szCs w:val="24"/>
        </w:rPr>
      </w:pPr>
      <w:r w:rsidRPr="00AB59DA">
        <w:rPr>
          <w:rFonts w:ascii="Arial" w:hAnsi="Arial" w:cs="Arial"/>
          <w:color w:val="000000"/>
          <w:sz w:val="24"/>
          <w:szCs w:val="24"/>
        </w:rPr>
        <w:tab/>
      </w:r>
      <w:r w:rsidRPr="00AB59DA">
        <w:rPr>
          <w:rFonts w:ascii="Arial" w:hAnsi="Arial" w:cs="Arial"/>
          <w:sz w:val="24"/>
          <w:szCs w:val="24"/>
        </w:rPr>
        <w:t xml:space="preserve">The Resources Review Group will begin to examine some of these possible effects and how it may impact upon the housing build programme and sales. </w:t>
      </w:r>
    </w:p>
    <w:p w:rsidR="00914890" w:rsidRDefault="00914890" w:rsidP="003C118F">
      <w:pPr>
        <w:spacing w:after="0" w:line="240" w:lineRule="auto"/>
        <w:ind w:left="720" w:hanging="720"/>
        <w:rPr>
          <w:rFonts w:ascii="Arial" w:hAnsi="Arial" w:cs="Arial"/>
          <w:sz w:val="24"/>
          <w:szCs w:val="24"/>
        </w:rPr>
      </w:pPr>
    </w:p>
    <w:p w:rsidR="00914890" w:rsidRPr="00AB59DA" w:rsidRDefault="00914890" w:rsidP="003C118F">
      <w:pPr>
        <w:spacing w:after="0" w:line="240" w:lineRule="auto"/>
        <w:ind w:left="720" w:hanging="720"/>
        <w:rPr>
          <w:rFonts w:ascii="Arial" w:hAnsi="Arial" w:cs="Arial"/>
          <w:sz w:val="24"/>
          <w:szCs w:val="24"/>
        </w:rPr>
      </w:pPr>
    </w:p>
    <w:tbl>
      <w:tblPr>
        <w:tblStyle w:val="TableGrid6"/>
        <w:tblW w:w="5000" w:type="pct"/>
        <w:tblLook w:val="04A0" w:firstRow="1" w:lastRow="0" w:firstColumn="1" w:lastColumn="0" w:noHBand="0" w:noVBand="1"/>
      </w:tblPr>
      <w:tblGrid>
        <w:gridCol w:w="2547"/>
        <w:gridCol w:w="4111"/>
        <w:gridCol w:w="2358"/>
      </w:tblGrid>
      <w:tr w:rsidR="00914890" w:rsidRPr="00AB59DA" w:rsidTr="00914890">
        <w:tc>
          <w:tcPr>
            <w:tcW w:w="2547"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rPr>
                <w:rFonts w:ascii="Arial" w:hAnsi="Arial" w:cs="Arial"/>
                <w:b/>
                <w:sz w:val="24"/>
                <w:szCs w:val="24"/>
              </w:rPr>
            </w:pPr>
            <w:r w:rsidRPr="00AB59DA">
              <w:rPr>
                <w:rFonts w:ascii="Arial" w:hAnsi="Arial" w:cs="Arial"/>
                <w:b/>
                <w:sz w:val="24"/>
                <w:szCs w:val="24"/>
              </w:rPr>
              <w:t xml:space="preserve">Risk </w:t>
            </w:r>
          </w:p>
        </w:tc>
        <w:tc>
          <w:tcPr>
            <w:tcW w:w="4111"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rPr>
                <w:rFonts w:ascii="Arial" w:hAnsi="Arial" w:cs="Arial"/>
                <w:b/>
                <w:sz w:val="24"/>
                <w:szCs w:val="24"/>
              </w:rPr>
            </w:pPr>
            <w:r w:rsidRPr="00AB59DA">
              <w:rPr>
                <w:rFonts w:ascii="Arial" w:hAnsi="Arial" w:cs="Arial"/>
                <w:b/>
                <w:sz w:val="24"/>
                <w:szCs w:val="24"/>
              </w:rPr>
              <w:t xml:space="preserve">Mitigation </w:t>
            </w:r>
          </w:p>
        </w:tc>
        <w:tc>
          <w:tcPr>
            <w:tcW w:w="2358"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b/>
                <w:sz w:val="24"/>
                <w:szCs w:val="24"/>
              </w:rPr>
            </w:pPr>
            <w:r w:rsidRPr="00AB59DA">
              <w:rPr>
                <w:rFonts w:ascii="Arial" w:hAnsi="Arial" w:cs="Arial"/>
                <w:b/>
                <w:sz w:val="24"/>
                <w:szCs w:val="24"/>
              </w:rPr>
              <w:t>Update:</w:t>
            </w:r>
          </w:p>
        </w:tc>
      </w:tr>
      <w:tr w:rsidR="00914890" w:rsidRPr="00AB59DA" w:rsidTr="00914890">
        <w:tc>
          <w:tcPr>
            <w:tcW w:w="2547"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rPr>
                <w:rFonts w:ascii="Arial" w:hAnsi="Arial" w:cs="Arial"/>
                <w:sz w:val="24"/>
                <w:szCs w:val="24"/>
              </w:rPr>
            </w:pPr>
            <w:r w:rsidRPr="00AB59DA">
              <w:rPr>
                <w:rFonts w:ascii="Arial" w:hAnsi="Arial" w:cs="Arial"/>
                <w:sz w:val="24"/>
                <w:szCs w:val="24"/>
              </w:rPr>
              <w:t>New Homes Bonus/CIL/NNDR Policy change – risk of Government policy change may reduce resources</w:t>
            </w:r>
          </w:p>
        </w:tc>
        <w:tc>
          <w:tcPr>
            <w:tcW w:w="4111"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rPr>
                <w:rFonts w:ascii="Arial" w:hAnsi="Arial" w:cs="Arial"/>
                <w:sz w:val="24"/>
                <w:szCs w:val="24"/>
              </w:rPr>
            </w:pPr>
            <w:r w:rsidRPr="00AB59DA">
              <w:rPr>
                <w:rFonts w:ascii="Arial" w:hAnsi="Arial" w:cs="Arial"/>
                <w:sz w:val="24"/>
                <w:szCs w:val="24"/>
              </w:rPr>
              <w:t xml:space="preserve">This risk will be managed through negotiation between Government, the LEP and CD local authorities </w:t>
            </w:r>
          </w:p>
          <w:p w:rsidR="00914890" w:rsidRPr="00AB59DA" w:rsidRDefault="00914890" w:rsidP="003C118F">
            <w:pPr>
              <w:rPr>
                <w:rFonts w:ascii="Arial" w:hAnsi="Arial" w:cs="Arial"/>
                <w:sz w:val="24"/>
                <w:szCs w:val="24"/>
              </w:rPr>
            </w:pPr>
          </w:p>
          <w:p w:rsidR="00914890" w:rsidRPr="00AB59DA" w:rsidRDefault="00914890" w:rsidP="003C118F">
            <w:pPr>
              <w:rPr>
                <w:rFonts w:ascii="Arial" w:hAnsi="Arial" w:cs="Arial"/>
                <w:sz w:val="24"/>
                <w:szCs w:val="24"/>
              </w:rPr>
            </w:pPr>
            <w:r w:rsidRPr="00AB59DA">
              <w:rPr>
                <w:rFonts w:ascii="Arial" w:hAnsi="Arial" w:cs="Arial"/>
                <w:sz w:val="24"/>
                <w:szCs w:val="24"/>
              </w:rPr>
              <w:t>Potential impact of Starter Homes and Direct Commissioning also being factored into negotiations with Government as part of the Resources Review.</w:t>
            </w:r>
          </w:p>
          <w:p w:rsidR="00914890" w:rsidRPr="00AB59DA" w:rsidRDefault="00914890" w:rsidP="003C118F">
            <w:pPr>
              <w:rPr>
                <w:rFonts w:ascii="Arial" w:hAnsi="Arial" w:cs="Arial"/>
                <w:sz w:val="24"/>
                <w:szCs w:val="24"/>
              </w:rPr>
            </w:pPr>
          </w:p>
          <w:p w:rsidR="00914890" w:rsidRPr="00AB59DA" w:rsidRDefault="00914890" w:rsidP="003C118F">
            <w:pPr>
              <w:rPr>
                <w:rFonts w:ascii="Arial"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sz w:val="24"/>
                <w:szCs w:val="24"/>
              </w:rPr>
            </w:pPr>
            <w:r w:rsidRPr="00AB59DA">
              <w:rPr>
                <w:rFonts w:ascii="Arial" w:hAnsi="Arial" w:cs="Arial"/>
                <w:sz w:val="24"/>
                <w:szCs w:val="24"/>
              </w:rPr>
              <w:t>Starter homes has been removed from mitigation action as is no longer a focus for HCA.</w:t>
            </w:r>
          </w:p>
        </w:tc>
      </w:tr>
      <w:tr w:rsidR="00914890" w:rsidRPr="00AB59DA" w:rsidTr="00914890">
        <w:tc>
          <w:tcPr>
            <w:tcW w:w="2547"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rPr>
                <w:rFonts w:ascii="Arial" w:hAnsi="Arial" w:cs="Arial"/>
                <w:sz w:val="24"/>
                <w:szCs w:val="24"/>
              </w:rPr>
            </w:pPr>
            <w:r w:rsidRPr="00AB59DA">
              <w:rPr>
                <w:rFonts w:ascii="Arial" w:hAnsi="Arial" w:cs="Arial"/>
                <w:sz w:val="24"/>
                <w:szCs w:val="24"/>
              </w:rPr>
              <w:t xml:space="preserve">Political administration change </w:t>
            </w:r>
          </w:p>
        </w:tc>
        <w:tc>
          <w:tcPr>
            <w:tcW w:w="4111" w:type="dxa"/>
            <w:tcBorders>
              <w:top w:val="single" w:sz="4" w:space="0" w:color="auto"/>
              <w:left w:val="single" w:sz="4" w:space="0" w:color="auto"/>
              <w:bottom w:val="single" w:sz="4" w:space="0" w:color="auto"/>
              <w:right w:val="single" w:sz="4" w:space="0" w:color="auto"/>
            </w:tcBorders>
            <w:hideMark/>
          </w:tcPr>
          <w:p w:rsidR="00914890" w:rsidRPr="00AB59DA" w:rsidRDefault="00914890" w:rsidP="003C118F">
            <w:pPr>
              <w:rPr>
                <w:rFonts w:ascii="Arial" w:hAnsi="Arial" w:cs="Arial"/>
                <w:sz w:val="24"/>
                <w:szCs w:val="24"/>
              </w:rPr>
            </w:pPr>
            <w:r w:rsidRPr="00AB59DA">
              <w:rPr>
                <w:rFonts w:ascii="Arial" w:hAnsi="Arial" w:cs="Arial"/>
                <w:sz w:val="24"/>
                <w:szCs w:val="24"/>
              </w:rPr>
              <w:t xml:space="preserve">This risk has been mitigated by the respective Cabinets for each of the 3 CD local authorities endorsing the CD. City Deal governance arrangements provide the mechanism for managing this.   </w:t>
            </w:r>
          </w:p>
        </w:tc>
        <w:tc>
          <w:tcPr>
            <w:tcW w:w="2358" w:type="dxa"/>
            <w:tcBorders>
              <w:top w:val="single" w:sz="4" w:space="0" w:color="auto"/>
              <w:left w:val="single" w:sz="4" w:space="0" w:color="auto"/>
              <w:bottom w:val="single" w:sz="4" w:space="0" w:color="auto"/>
              <w:right w:val="single" w:sz="4" w:space="0" w:color="auto"/>
            </w:tcBorders>
          </w:tcPr>
          <w:p w:rsidR="00914890" w:rsidRPr="00AB59DA" w:rsidRDefault="00914890" w:rsidP="003C118F">
            <w:pPr>
              <w:rPr>
                <w:rFonts w:ascii="Arial" w:hAnsi="Arial" w:cs="Arial"/>
                <w:sz w:val="24"/>
                <w:szCs w:val="24"/>
              </w:rPr>
            </w:pPr>
          </w:p>
        </w:tc>
      </w:tr>
    </w:tbl>
    <w:p w:rsidR="00914890" w:rsidRPr="00AB59DA" w:rsidRDefault="00914890" w:rsidP="003C118F">
      <w:pPr>
        <w:spacing w:after="0" w:line="240" w:lineRule="auto"/>
        <w:ind w:left="720" w:hanging="720"/>
        <w:rPr>
          <w:rFonts w:ascii="Arial" w:hAnsi="Arial" w:cs="Arial"/>
          <w:sz w:val="24"/>
          <w:szCs w:val="24"/>
        </w:rPr>
      </w:pPr>
    </w:p>
    <w:p w:rsidR="00054E0A" w:rsidRPr="009D435E" w:rsidRDefault="00054E0A" w:rsidP="003C118F">
      <w:pPr>
        <w:pStyle w:val="NoSpacing"/>
        <w:jc w:val="both"/>
        <w:rPr>
          <w:rFonts w:cs="Arial"/>
          <w:szCs w:val="24"/>
        </w:rPr>
      </w:pPr>
    </w:p>
    <w:sectPr w:rsidR="00054E0A"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90" w:rsidRDefault="00914890" w:rsidP="00440F6A">
      <w:pPr>
        <w:spacing w:after="0" w:line="240" w:lineRule="auto"/>
      </w:pPr>
      <w:r>
        <w:separator/>
      </w:r>
    </w:p>
  </w:endnote>
  <w:endnote w:type="continuationSeparator" w:id="0">
    <w:p w:rsidR="00914890" w:rsidRDefault="00914890" w:rsidP="0044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90" w:rsidRDefault="00914890" w:rsidP="00440F6A">
    <w:pPr>
      <w:pStyle w:val="Footer"/>
    </w:pPr>
    <w:bookmarkStart w:id="1" w:name="aliashAdvancedFooterprot1FooterEvenPages"/>
  </w:p>
  <w:bookmarkEnd w:id="1"/>
  <w:p w:rsidR="00914890" w:rsidRDefault="00914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90" w:rsidRDefault="00914890" w:rsidP="00440F6A">
    <w:pPr>
      <w:pStyle w:val="Footer"/>
    </w:pPr>
    <w:bookmarkStart w:id="2" w:name="aliashAdvancedFooterprotec1FooterPrimary"/>
  </w:p>
  <w:bookmarkEnd w:id="2"/>
  <w:p w:rsidR="00914890" w:rsidRDefault="009148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90" w:rsidRDefault="00914890" w:rsidP="00440F6A">
    <w:pPr>
      <w:pStyle w:val="Footer"/>
    </w:pPr>
    <w:bookmarkStart w:id="3" w:name="aliashAdvancedFooterprot1FooterFirstPage"/>
  </w:p>
  <w:bookmarkEnd w:id="3"/>
  <w:p w:rsidR="00914890" w:rsidRDefault="00914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90" w:rsidRDefault="00914890" w:rsidP="00440F6A">
      <w:pPr>
        <w:spacing w:after="0" w:line="240" w:lineRule="auto"/>
      </w:pPr>
      <w:r>
        <w:separator/>
      </w:r>
    </w:p>
  </w:footnote>
  <w:footnote w:type="continuationSeparator" w:id="0">
    <w:p w:rsidR="00914890" w:rsidRDefault="00914890" w:rsidP="0044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90" w:rsidRDefault="00914890" w:rsidP="00054E0A">
    <w:pPr>
      <w:pStyle w:val="Header"/>
    </w:pPr>
    <w:r w:rsidRPr="00DA16C4">
      <w:rPr>
        <w:noProof/>
        <w:lang w:eastAsia="en-GB"/>
      </w:rPr>
      <w:drawing>
        <wp:inline distT="0" distB="0" distL="0" distR="0" wp14:anchorId="2C809399" wp14:editId="5BAB2C79">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A33"/>
    <w:multiLevelType w:val="hybridMultilevel"/>
    <w:tmpl w:val="CFCC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2B64"/>
    <w:multiLevelType w:val="hybridMultilevel"/>
    <w:tmpl w:val="C31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D15AF"/>
    <w:multiLevelType w:val="hybridMultilevel"/>
    <w:tmpl w:val="9D96FD26"/>
    <w:lvl w:ilvl="0" w:tplc="19901D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60D89"/>
    <w:multiLevelType w:val="hybridMultilevel"/>
    <w:tmpl w:val="C5D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C3537"/>
    <w:multiLevelType w:val="hybridMultilevel"/>
    <w:tmpl w:val="77A8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9788C"/>
    <w:multiLevelType w:val="hybridMultilevel"/>
    <w:tmpl w:val="A4A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75829"/>
    <w:multiLevelType w:val="hybridMultilevel"/>
    <w:tmpl w:val="CC1C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451C8"/>
    <w:multiLevelType w:val="hybridMultilevel"/>
    <w:tmpl w:val="5ED8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1765B"/>
    <w:multiLevelType w:val="hybridMultilevel"/>
    <w:tmpl w:val="C55E2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D4387"/>
    <w:multiLevelType w:val="hybridMultilevel"/>
    <w:tmpl w:val="AA5A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828D9"/>
    <w:multiLevelType w:val="hybridMultilevel"/>
    <w:tmpl w:val="7A522548"/>
    <w:lvl w:ilvl="0" w:tplc="E57E991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E339C5"/>
    <w:multiLevelType w:val="hybridMultilevel"/>
    <w:tmpl w:val="D37E4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B90791"/>
    <w:multiLevelType w:val="hybridMultilevel"/>
    <w:tmpl w:val="E53A95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D28BB"/>
    <w:multiLevelType w:val="hybridMultilevel"/>
    <w:tmpl w:val="A54E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72424"/>
    <w:multiLevelType w:val="hybridMultilevel"/>
    <w:tmpl w:val="73B446E2"/>
    <w:lvl w:ilvl="0" w:tplc="369A2A22">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A22616C"/>
    <w:multiLevelType w:val="hybridMultilevel"/>
    <w:tmpl w:val="69A2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E2F9B"/>
    <w:multiLevelType w:val="hybridMultilevel"/>
    <w:tmpl w:val="35D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760CA"/>
    <w:multiLevelType w:val="hybridMultilevel"/>
    <w:tmpl w:val="F53E06CC"/>
    <w:lvl w:ilvl="0" w:tplc="543C046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5"/>
  </w:num>
  <w:num w:numId="4">
    <w:abstractNumId w:val="1"/>
  </w:num>
  <w:num w:numId="5">
    <w:abstractNumId w:val="2"/>
  </w:num>
  <w:num w:numId="6">
    <w:abstractNumId w:val="4"/>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13"/>
  </w:num>
  <w:num w:numId="12">
    <w:abstractNumId w:val="9"/>
  </w:num>
  <w:num w:numId="13">
    <w:abstractNumId w:val="6"/>
  </w:num>
  <w:num w:numId="14">
    <w:abstractNumId w:val="8"/>
  </w:num>
  <w:num w:numId="15">
    <w:abstractNumId w:val="11"/>
  </w:num>
  <w:num w:numId="16">
    <w:abstractNumId w:val="7"/>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6A"/>
    <w:rsid w:val="00001F21"/>
    <w:rsid w:val="00015224"/>
    <w:rsid w:val="000400DA"/>
    <w:rsid w:val="000448F5"/>
    <w:rsid w:val="00054E0A"/>
    <w:rsid w:val="00082D91"/>
    <w:rsid w:val="000A0ADC"/>
    <w:rsid w:val="000B5CB9"/>
    <w:rsid w:val="000D16D8"/>
    <w:rsid w:val="001066AE"/>
    <w:rsid w:val="00150D20"/>
    <w:rsid w:val="00153818"/>
    <w:rsid w:val="001666DA"/>
    <w:rsid w:val="00193925"/>
    <w:rsid w:val="001A4FDA"/>
    <w:rsid w:val="001D3586"/>
    <w:rsid w:val="001E0DA5"/>
    <w:rsid w:val="001F672D"/>
    <w:rsid w:val="00221C44"/>
    <w:rsid w:val="00225611"/>
    <w:rsid w:val="00233B5B"/>
    <w:rsid w:val="0026380D"/>
    <w:rsid w:val="002823A0"/>
    <w:rsid w:val="002B4333"/>
    <w:rsid w:val="002C2305"/>
    <w:rsid w:val="002E1234"/>
    <w:rsid w:val="00303742"/>
    <w:rsid w:val="0035652C"/>
    <w:rsid w:val="00373267"/>
    <w:rsid w:val="0037633C"/>
    <w:rsid w:val="003B6A3F"/>
    <w:rsid w:val="003B7175"/>
    <w:rsid w:val="003C118F"/>
    <w:rsid w:val="00440F6A"/>
    <w:rsid w:val="00442C68"/>
    <w:rsid w:val="0044360A"/>
    <w:rsid w:val="004B02C9"/>
    <w:rsid w:val="004C2AD8"/>
    <w:rsid w:val="004F7E22"/>
    <w:rsid w:val="005023C6"/>
    <w:rsid w:val="00516FB0"/>
    <w:rsid w:val="005962FC"/>
    <w:rsid w:val="00676189"/>
    <w:rsid w:val="006A1583"/>
    <w:rsid w:val="007C7D8F"/>
    <w:rsid w:val="007D3EFC"/>
    <w:rsid w:val="007E6239"/>
    <w:rsid w:val="00807C4B"/>
    <w:rsid w:val="008427F3"/>
    <w:rsid w:val="008946E8"/>
    <w:rsid w:val="008F0B5F"/>
    <w:rsid w:val="00914890"/>
    <w:rsid w:val="00946DB8"/>
    <w:rsid w:val="009A45BB"/>
    <w:rsid w:val="009D435E"/>
    <w:rsid w:val="009F3706"/>
    <w:rsid w:val="00AB3E86"/>
    <w:rsid w:val="00AC4EA1"/>
    <w:rsid w:val="00AF6140"/>
    <w:rsid w:val="00AF6F3E"/>
    <w:rsid w:val="00B34F4D"/>
    <w:rsid w:val="00B63660"/>
    <w:rsid w:val="00BE1763"/>
    <w:rsid w:val="00C07FAB"/>
    <w:rsid w:val="00C41902"/>
    <w:rsid w:val="00C668A2"/>
    <w:rsid w:val="00CB0C33"/>
    <w:rsid w:val="00CE5CB2"/>
    <w:rsid w:val="00D04A61"/>
    <w:rsid w:val="00D3134F"/>
    <w:rsid w:val="00D70F5F"/>
    <w:rsid w:val="00D94268"/>
    <w:rsid w:val="00DB0E4B"/>
    <w:rsid w:val="00DB1A72"/>
    <w:rsid w:val="00DC521A"/>
    <w:rsid w:val="00DD5D82"/>
    <w:rsid w:val="00DE07D7"/>
    <w:rsid w:val="00DE39D4"/>
    <w:rsid w:val="00E07137"/>
    <w:rsid w:val="00E1211C"/>
    <w:rsid w:val="00E140D8"/>
    <w:rsid w:val="00E22C8C"/>
    <w:rsid w:val="00E52B9D"/>
    <w:rsid w:val="00E805E8"/>
    <w:rsid w:val="00ED24C9"/>
    <w:rsid w:val="00ED346B"/>
    <w:rsid w:val="00EF579A"/>
    <w:rsid w:val="00F277F8"/>
    <w:rsid w:val="00F31C61"/>
    <w:rsid w:val="00F3667B"/>
    <w:rsid w:val="00F41D53"/>
    <w:rsid w:val="00F54335"/>
    <w:rsid w:val="00F770D9"/>
    <w:rsid w:val="00FA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39"/>
    <w:rsid w:val="0091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14890"/>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4890"/>
    <w:rPr>
      <w:rFonts w:eastAsiaTheme="minorEastAsia"/>
      <w:color w:val="5A5A5A" w:themeColor="text1" w:themeTint="A5"/>
      <w:spacing w:val="15"/>
    </w:rPr>
  </w:style>
  <w:style w:type="table" w:customStyle="1" w:styleId="TableGrid11">
    <w:name w:val="Table Grid11"/>
    <w:basedOn w:val="TableNormal"/>
    <w:next w:val="TableGrid"/>
    <w:uiPriority w:val="39"/>
    <w:rsid w:val="0091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1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1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2879">
      <w:bodyDiv w:val="1"/>
      <w:marLeft w:val="0"/>
      <w:marRight w:val="0"/>
      <w:marTop w:val="0"/>
      <w:marBottom w:val="0"/>
      <w:divBdr>
        <w:top w:val="none" w:sz="0" w:space="0" w:color="auto"/>
        <w:left w:val="none" w:sz="0" w:space="0" w:color="auto"/>
        <w:bottom w:val="none" w:sz="0" w:space="0" w:color="auto"/>
        <w:right w:val="none" w:sz="0" w:space="0" w:color="auto"/>
      </w:divBdr>
    </w:div>
    <w:div w:id="1387338331">
      <w:bodyDiv w:val="1"/>
      <w:marLeft w:val="0"/>
      <w:marRight w:val="0"/>
      <w:marTop w:val="0"/>
      <w:marBottom w:val="0"/>
      <w:divBdr>
        <w:top w:val="none" w:sz="0" w:space="0" w:color="auto"/>
        <w:left w:val="none" w:sz="0" w:space="0" w:color="auto"/>
        <w:bottom w:val="none" w:sz="0" w:space="0" w:color="auto"/>
        <w:right w:val="none" w:sz="0" w:space="0" w:color="auto"/>
      </w:divBdr>
    </w:div>
    <w:div w:id="2120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2E7B4-05DC-4891-A0BB-CB71261B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5013</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14</cp:revision>
  <cp:lastPrinted>2015-01-28T14:27:00Z</cp:lastPrinted>
  <dcterms:created xsi:type="dcterms:W3CDTF">2015-03-30T10:11:00Z</dcterms:created>
  <dcterms:modified xsi:type="dcterms:W3CDTF">2017-11-22T13:21:00Z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b16076df-281e-485b-ac3b-6fbc29115d7d</vt:lpwstr>
  </property>
  <property fmtid="{D5CDD505-2E9C-101B-9397-08002B2CF9AE}" pid="3" name="HCAGPMS">
    <vt:lpwstr>OFFICIAL</vt:lpwstr>
  </property>
  <property fmtid="{D5CDD505-2E9C-101B-9397-08002B2CF9AE}" pid="4" name="IssueTitle">
    <vt:lpwstr>Business and Delivery plan – Six Monthly Monitoring Report – 2017/18 and Implementation Update</vt:lpwstr>
  </property>
  <property fmtid="{D5CDD505-2E9C-101B-9397-08002B2CF9AE}" pid="5" name="LeadOfficer">
    <vt:lpwstr>Sarah Parry</vt:lpwstr>
  </property>
  <property fmtid="{D5CDD505-2E9C-101B-9397-08002B2CF9AE}" pid="6" name="LeadOfficerTel">
    <vt:lpwstr>Tel: 01772 530615</vt:lpwstr>
  </property>
  <property fmtid="{D5CDD505-2E9C-101B-9397-08002B2CF9AE}" pid="7" name="LeadOfficerEmail">
    <vt:lpwstr>sarah.parry@lancashire.gov.uk</vt:lpwstr>
  </property>
  <property fmtid="{D5CDD505-2E9C-101B-9397-08002B2CF9AE}" pid="8" name="MeetingDate">
    <vt:lpwstr>Wednesday, 29 November 2017</vt:lpwstr>
  </property>
</Properties>
</file>